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CA" w:rsidRDefault="00ED02CA" w:rsidP="00D84C66">
      <w:pPr>
        <w:jc w:val="center"/>
        <w:rPr>
          <w:b/>
          <w:sz w:val="40"/>
          <w:szCs w:val="40"/>
        </w:rPr>
      </w:pPr>
      <w:r>
        <w:rPr>
          <w:b/>
          <w:sz w:val="40"/>
          <w:szCs w:val="40"/>
        </w:rPr>
        <w:t>Diocesi di Assisi – Nocera Umbra – Gualdo Tadino</w:t>
      </w:r>
    </w:p>
    <w:p w:rsidR="00ED02CA" w:rsidRDefault="00ED02CA" w:rsidP="00D84C66">
      <w:pPr>
        <w:jc w:val="center"/>
        <w:rPr>
          <w:b/>
          <w:sz w:val="40"/>
          <w:szCs w:val="40"/>
        </w:rPr>
      </w:pPr>
      <w:r>
        <w:rPr>
          <w:b/>
          <w:sz w:val="40"/>
          <w:szCs w:val="40"/>
        </w:rPr>
        <w:t>Laboratorio della Parola</w:t>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33DB3" w:rsidP="00D84C66">
      <w:pPr>
        <w:jc w:val="center"/>
        <w:rPr>
          <w:b/>
          <w:szCs w:val="24"/>
        </w:rPr>
      </w:pPr>
      <w:r>
        <w:rPr>
          <w:noProof/>
        </w:rPr>
        <w:drawing>
          <wp:anchor distT="0" distB="0" distL="114300" distR="114300" simplePos="0" relativeHeight="251719680" behindDoc="0" locked="0" layoutInCell="1" allowOverlap="1">
            <wp:simplePos x="0" y="0"/>
            <wp:positionH relativeFrom="margin">
              <wp:posOffset>494665</wp:posOffset>
            </wp:positionH>
            <wp:positionV relativeFrom="margin">
              <wp:posOffset>1639570</wp:posOffset>
            </wp:positionV>
            <wp:extent cx="5013960" cy="3547745"/>
            <wp:effectExtent l="19050" t="0" r="0" b="0"/>
            <wp:wrapSquare wrapText="bothSides"/>
            <wp:docPr id="2" name="Immagine 2" descr="michelangelo-creazione-di-ada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langelo-creazione-di-adamob"/>
                    <pic:cNvPicPr>
                      <a:picLocks noChangeAspect="1" noChangeArrowheads="1"/>
                    </pic:cNvPicPr>
                  </pic:nvPicPr>
                  <pic:blipFill>
                    <a:blip r:embed="rId7">
                      <a:lum bright="10000"/>
                    </a:blip>
                    <a:srcRect/>
                    <a:stretch>
                      <a:fillRect/>
                    </a:stretch>
                  </pic:blipFill>
                  <pic:spPr bwMode="auto">
                    <a:xfrm>
                      <a:off x="0" y="0"/>
                      <a:ext cx="5013960" cy="3547745"/>
                    </a:xfrm>
                    <a:prstGeom prst="rect">
                      <a:avLst/>
                    </a:prstGeom>
                    <a:noFill/>
                  </pic:spPr>
                </pic:pic>
              </a:graphicData>
            </a:graphic>
          </wp:anchor>
        </w:drawing>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A702E1">
      <w:pPr>
        <w:jc w:val="center"/>
        <w:rPr>
          <w:b/>
          <w:sz w:val="40"/>
          <w:szCs w:val="40"/>
        </w:rPr>
      </w:pPr>
      <w:r>
        <w:rPr>
          <w:b/>
          <w:sz w:val="40"/>
          <w:szCs w:val="40"/>
        </w:rPr>
        <w:t>IMPARIAMO A LEGGERE</w:t>
      </w:r>
    </w:p>
    <w:p w:rsidR="00ED02CA" w:rsidRDefault="00ED02CA" w:rsidP="00A702E1">
      <w:pPr>
        <w:jc w:val="center"/>
        <w:rPr>
          <w:b/>
          <w:sz w:val="56"/>
          <w:szCs w:val="56"/>
        </w:rPr>
      </w:pPr>
      <w:r>
        <w:rPr>
          <w:b/>
          <w:sz w:val="56"/>
          <w:szCs w:val="56"/>
        </w:rPr>
        <w:t>L’ANTICO TESTAMENTO</w:t>
      </w:r>
    </w:p>
    <w:p w:rsidR="00ED02CA" w:rsidRPr="00A702E1" w:rsidRDefault="00ED02CA" w:rsidP="00A702E1">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 w:val="28"/>
          <w:szCs w:val="28"/>
        </w:rPr>
      </w:pPr>
      <w:r>
        <w:rPr>
          <w:b/>
          <w:sz w:val="28"/>
          <w:szCs w:val="28"/>
        </w:rPr>
        <w:t>SCHEMI DI LEZIONE SULL’ANTICO TESTAMENTO</w:t>
      </w:r>
    </w:p>
    <w:p w:rsidR="00ED02CA" w:rsidRDefault="00ED02CA" w:rsidP="00D84C66">
      <w:pPr>
        <w:jc w:val="center"/>
        <w:rPr>
          <w:b/>
          <w:szCs w:val="24"/>
        </w:rPr>
      </w:pPr>
      <w:r>
        <w:rPr>
          <w:b/>
        </w:rPr>
        <w:t xml:space="preserve">di </w:t>
      </w:r>
    </w:p>
    <w:p w:rsidR="00ED02CA" w:rsidRDefault="00ED02CA" w:rsidP="00D84C66">
      <w:pPr>
        <w:tabs>
          <w:tab w:val="left" w:pos="3444"/>
        </w:tabs>
        <w:jc w:val="center"/>
        <w:rPr>
          <w:b/>
        </w:rPr>
      </w:pPr>
      <w:r>
        <w:rPr>
          <w:b/>
        </w:rPr>
        <w:t>Don Oscar Battaglia</w:t>
      </w:r>
    </w:p>
    <w:p w:rsidR="00225567" w:rsidRDefault="00225567" w:rsidP="00D84C66">
      <w:pPr>
        <w:tabs>
          <w:tab w:val="left" w:pos="3444"/>
        </w:tabs>
        <w:jc w:val="center"/>
        <w:rPr>
          <w:b/>
        </w:rPr>
      </w:pPr>
    </w:p>
    <w:p w:rsidR="00225567" w:rsidRPr="001404D9" w:rsidRDefault="00225567" w:rsidP="00225567">
      <w:pPr>
        <w:ind w:firstLine="708"/>
        <w:jc w:val="center"/>
        <w:rPr>
          <w:rFonts w:ascii="Times New Roman" w:hAnsi="Times New Roman"/>
          <w:b/>
          <w:szCs w:val="24"/>
        </w:rPr>
      </w:pPr>
      <w:r w:rsidRPr="001404D9">
        <w:rPr>
          <w:rFonts w:ascii="Times New Roman" w:hAnsi="Times New Roman"/>
          <w:b/>
          <w:szCs w:val="24"/>
        </w:rPr>
        <w:t>5.</w:t>
      </w:r>
      <w:r>
        <w:rPr>
          <w:rFonts w:ascii="Times New Roman" w:hAnsi="Times New Roman"/>
          <w:b/>
          <w:szCs w:val="24"/>
        </w:rPr>
        <w:t xml:space="preserve"> G</w:t>
      </w:r>
      <w:r w:rsidRPr="001404D9">
        <w:rPr>
          <w:rFonts w:ascii="Times New Roman" w:hAnsi="Times New Roman"/>
          <w:b/>
          <w:szCs w:val="24"/>
        </w:rPr>
        <w:t>li inizi della monarchia ebraica</w:t>
      </w:r>
    </w:p>
    <w:p w:rsidR="00ED02CA" w:rsidRPr="00573AC6" w:rsidRDefault="00ED02CA" w:rsidP="00573AC6">
      <w:pPr>
        <w:ind w:firstLine="708"/>
        <w:jc w:val="center"/>
        <w:rPr>
          <w:rFonts w:ascii="Times New Roman" w:hAnsi="Times New Roman"/>
          <w:szCs w:val="24"/>
        </w:rPr>
      </w:pPr>
      <w:r w:rsidRPr="001404D9">
        <w:rPr>
          <w:rFonts w:ascii="Times New Roman" w:hAnsi="Times New Roman"/>
          <w:b/>
          <w:szCs w:val="24"/>
        </w:rPr>
        <w:lastRenderedPageBreak/>
        <w:t>5.</w:t>
      </w:r>
    </w:p>
    <w:p w:rsidR="00ED02CA" w:rsidRPr="001404D9" w:rsidRDefault="00ED02CA" w:rsidP="00A16224">
      <w:pPr>
        <w:jc w:val="center"/>
        <w:rPr>
          <w:rFonts w:ascii="Times New Roman" w:hAnsi="Times New Roman"/>
          <w:b/>
          <w:szCs w:val="24"/>
        </w:rPr>
      </w:pPr>
      <w:r w:rsidRPr="001404D9">
        <w:rPr>
          <w:rFonts w:ascii="Times New Roman" w:hAnsi="Times New Roman"/>
          <w:b/>
          <w:szCs w:val="24"/>
        </w:rPr>
        <w:t>GLI INIZI DELLA MONARCHIA EBRAICA</w:t>
      </w:r>
    </w:p>
    <w:p w:rsidR="00ED02CA" w:rsidRDefault="00ED02CA" w:rsidP="007F37C6">
      <w:pPr>
        <w:autoSpaceDE w:val="0"/>
        <w:autoSpaceDN w:val="0"/>
        <w:adjustRightInd w:val="0"/>
        <w:ind w:firstLine="225"/>
        <w:jc w:val="both"/>
        <w:rPr>
          <w:rFonts w:ascii="Times New Roman" w:hAnsi="Times New Roman"/>
          <w:szCs w:val="24"/>
        </w:rPr>
      </w:pPr>
    </w:p>
    <w:p w:rsidR="00ED02CA" w:rsidRDefault="00E33DB3" w:rsidP="007F37C6">
      <w:pPr>
        <w:autoSpaceDE w:val="0"/>
        <w:autoSpaceDN w:val="0"/>
        <w:adjustRightInd w:val="0"/>
        <w:ind w:firstLine="708"/>
        <w:jc w:val="both"/>
        <w:rPr>
          <w:rFonts w:ascii="Times New Roman" w:hAnsi="Times New Roman"/>
          <w:szCs w:val="24"/>
        </w:rPr>
      </w:pPr>
      <w:r>
        <w:rPr>
          <w:noProof/>
        </w:rPr>
        <w:drawing>
          <wp:anchor distT="0" distB="0" distL="114300" distR="114300" simplePos="0" relativeHeight="251588608" behindDoc="0" locked="0" layoutInCell="1" allowOverlap="1">
            <wp:simplePos x="0" y="0"/>
            <wp:positionH relativeFrom="margin">
              <wp:posOffset>60960</wp:posOffset>
            </wp:positionH>
            <wp:positionV relativeFrom="margin">
              <wp:posOffset>537845</wp:posOffset>
            </wp:positionV>
            <wp:extent cx="1647825" cy="2895600"/>
            <wp:effectExtent l="19050" t="0" r="9525" b="0"/>
            <wp:wrapSquare wrapText="bothSides"/>
            <wp:docPr id="100" name="Immagine 100" descr="S.M. Mag.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M. Mag. David"/>
                    <pic:cNvPicPr>
                      <a:picLocks noChangeAspect="1" noChangeArrowheads="1"/>
                    </pic:cNvPicPr>
                  </pic:nvPicPr>
                  <pic:blipFill>
                    <a:blip r:embed="rId8"/>
                    <a:srcRect/>
                    <a:stretch>
                      <a:fillRect/>
                    </a:stretch>
                  </pic:blipFill>
                  <pic:spPr bwMode="auto">
                    <a:xfrm>
                      <a:off x="0" y="0"/>
                      <a:ext cx="1647825" cy="2895600"/>
                    </a:xfrm>
                    <a:prstGeom prst="rect">
                      <a:avLst/>
                    </a:prstGeom>
                    <a:noFill/>
                  </pic:spPr>
                </pic:pic>
              </a:graphicData>
            </a:graphic>
          </wp:anchor>
        </w:drawing>
      </w:r>
      <w:r w:rsidR="00ED02CA">
        <w:rPr>
          <w:rFonts w:ascii="Times New Roman" w:hAnsi="Times New Roman"/>
          <w:szCs w:val="24"/>
        </w:rPr>
        <w:t xml:space="preserve">Gran parte delle pagine di storia dell’Antico Testamento sono occupate dalle </w:t>
      </w:r>
      <w:r w:rsidR="00ED02CA">
        <w:rPr>
          <w:rFonts w:ascii="Times New Roman" w:hAnsi="Times New Roman"/>
          <w:b/>
          <w:szCs w:val="24"/>
        </w:rPr>
        <w:t>vicende dei re di Giuda e di Israele</w:t>
      </w:r>
      <w:r w:rsidR="00ED02CA">
        <w:rPr>
          <w:rFonts w:ascii="Times New Roman" w:hAnsi="Times New Roman"/>
          <w:szCs w:val="24"/>
        </w:rPr>
        <w:t xml:space="preserve">, che riuscirono ad occupare in maniera completa la terra che Dio aveva promesso ai patriarchi, eliminando o integrando le popolazioni Cananee e i Filistei che occupavano la costa. I re furono personaggi spesso corrotti e idolatri, come tutti i sovrani orientali; furono infedeli all’alleanza con Dio e quasi tutti sono stati giudicati con severità dagli autori sacri. Israele uscito dall’Egitto </w:t>
      </w:r>
      <w:r w:rsidR="00ED02CA">
        <w:rPr>
          <w:rFonts w:ascii="Times New Roman" w:hAnsi="Times New Roman"/>
          <w:b/>
          <w:szCs w:val="24"/>
        </w:rPr>
        <w:t>non creò subito uno stato monarchico</w:t>
      </w:r>
      <w:r w:rsidR="00ED02CA">
        <w:rPr>
          <w:rFonts w:ascii="Times New Roman" w:hAnsi="Times New Roman"/>
          <w:szCs w:val="24"/>
        </w:rPr>
        <w:t xml:space="preserve"> al momento dell’ ingresso nella Palestina. Non se ne sentì il bisogno, perché le tribù amavano conservare una relativa indipendenza  sotto  la sovranità di Dio che suscitava volta per volta, quando ce n’era bisogno, </w:t>
      </w:r>
      <w:r w:rsidR="00ED02CA">
        <w:rPr>
          <w:rFonts w:ascii="Times New Roman" w:hAnsi="Times New Roman"/>
          <w:b/>
          <w:szCs w:val="24"/>
        </w:rPr>
        <w:t>capi carismatici</w:t>
      </w:r>
      <w:r w:rsidR="00ED02CA">
        <w:rPr>
          <w:rFonts w:ascii="Times New Roman" w:hAnsi="Times New Roman"/>
          <w:szCs w:val="24"/>
        </w:rPr>
        <w:t xml:space="preserve"> per recuperare la libertà perduta. Passarono </w:t>
      </w:r>
      <w:r w:rsidR="00ED02CA">
        <w:rPr>
          <w:rFonts w:ascii="Times New Roman" w:hAnsi="Times New Roman"/>
          <w:b/>
          <w:szCs w:val="24"/>
        </w:rPr>
        <w:t>quasi due secoli</w:t>
      </w:r>
      <w:r w:rsidR="00ED02CA">
        <w:rPr>
          <w:rFonts w:ascii="Times New Roman" w:hAnsi="Times New Roman"/>
          <w:szCs w:val="24"/>
        </w:rPr>
        <w:t xml:space="preserve"> per un’organizzazione monarchica, da </w:t>
      </w:r>
      <w:r w:rsidR="00ED02CA">
        <w:rPr>
          <w:rFonts w:ascii="Times New Roman" w:hAnsi="Times New Roman"/>
          <w:b/>
          <w:szCs w:val="24"/>
        </w:rPr>
        <w:t>Giosuè</w:t>
      </w:r>
      <w:r w:rsidR="00ED02CA">
        <w:rPr>
          <w:rFonts w:ascii="Times New Roman" w:hAnsi="Times New Roman"/>
          <w:szCs w:val="24"/>
        </w:rPr>
        <w:t xml:space="preserve"> (1220 a. C.) al primo re </w:t>
      </w:r>
      <w:r w:rsidR="00ED02CA">
        <w:rPr>
          <w:rFonts w:ascii="Times New Roman" w:hAnsi="Times New Roman"/>
          <w:b/>
          <w:szCs w:val="24"/>
        </w:rPr>
        <w:t>Saul</w:t>
      </w:r>
      <w:r w:rsidR="00ED02CA">
        <w:rPr>
          <w:rFonts w:ascii="Times New Roman" w:hAnsi="Times New Roman"/>
          <w:szCs w:val="24"/>
        </w:rPr>
        <w:t xml:space="preserve"> (1030 a.C.). Anche dopo la creazione della monarchia rimase sempre una certa avversione alla figura del re, che si credeva usurpasse l’unica e insostituibile </w:t>
      </w:r>
      <w:r w:rsidR="00ED02CA">
        <w:rPr>
          <w:rFonts w:ascii="Times New Roman" w:hAnsi="Times New Roman"/>
          <w:b/>
          <w:szCs w:val="24"/>
        </w:rPr>
        <w:t>regalità di Iahweh</w:t>
      </w:r>
      <w:r w:rsidR="00ED02CA">
        <w:rPr>
          <w:rFonts w:ascii="Times New Roman" w:hAnsi="Times New Roman"/>
          <w:szCs w:val="24"/>
        </w:rPr>
        <w:t xml:space="preserve"> sul suo popolo. La monarchia del resto riuscì a creare uno stato unitario solo per poco tempo con Saul, Davide e Salomone (1030-931 a.C.). Alla morte di Salomone </w:t>
      </w:r>
      <w:r w:rsidR="00ED02CA">
        <w:rPr>
          <w:rFonts w:ascii="Times New Roman" w:hAnsi="Times New Roman"/>
          <w:b/>
          <w:szCs w:val="24"/>
        </w:rPr>
        <w:t>il regno si spaccò in due tronconi</w:t>
      </w:r>
      <w:r w:rsidR="00ED02CA">
        <w:rPr>
          <w:rFonts w:ascii="Times New Roman" w:hAnsi="Times New Roman"/>
          <w:szCs w:val="24"/>
        </w:rPr>
        <w:t xml:space="preserve">: le dieci tribù del Nord si crearono il loro regno con capitale in Samaria, le due tribù del Sud (Giuda e Beniamino) si crearono un loro regno, perpetuando la dinastia di Davide con capitale Gerusalemme. </w:t>
      </w:r>
    </w:p>
    <w:p w:rsidR="00ED02CA" w:rsidRDefault="00ED02CA" w:rsidP="007F37C6">
      <w:pPr>
        <w:autoSpaceDE w:val="0"/>
        <w:autoSpaceDN w:val="0"/>
        <w:adjustRightInd w:val="0"/>
        <w:ind w:firstLine="225"/>
        <w:jc w:val="both"/>
        <w:rPr>
          <w:rFonts w:ascii="Times New Roman" w:hAnsi="Times New Roman"/>
          <w:szCs w:val="24"/>
        </w:rPr>
      </w:pPr>
    </w:p>
    <w:p w:rsidR="00ED02CA" w:rsidRDefault="00ED02CA" w:rsidP="007F37C6">
      <w:pPr>
        <w:autoSpaceDE w:val="0"/>
        <w:autoSpaceDN w:val="0"/>
        <w:adjustRightInd w:val="0"/>
        <w:ind w:firstLine="708"/>
        <w:jc w:val="both"/>
        <w:rPr>
          <w:rFonts w:ascii="Times New Roman" w:hAnsi="Times New Roman"/>
          <w:color w:val="000000"/>
          <w:szCs w:val="24"/>
        </w:rPr>
      </w:pPr>
      <w:r>
        <w:rPr>
          <w:rFonts w:ascii="Times New Roman" w:hAnsi="Times New Roman"/>
          <w:b/>
          <w:szCs w:val="24"/>
        </w:rPr>
        <w:t>Il regno del nord o d’Israele</w:t>
      </w:r>
      <w:r>
        <w:rPr>
          <w:rFonts w:ascii="Times New Roman" w:hAnsi="Times New Roman"/>
          <w:szCs w:val="24"/>
        </w:rPr>
        <w:t xml:space="preserve">, fu distrutto per primo dagli eserciti assiri di Sargon II (721-705 a.C.) nel 721 e la sua fine è giudicata così </w:t>
      </w:r>
      <w:r w:rsidR="002131FE">
        <w:rPr>
          <w:rFonts w:ascii="Times New Roman" w:hAnsi="Times New Roman"/>
          <w:szCs w:val="24"/>
        </w:rPr>
        <w:t>n</w:t>
      </w:r>
      <w:r>
        <w:rPr>
          <w:rFonts w:ascii="Times New Roman" w:hAnsi="Times New Roman"/>
          <w:szCs w:val="24"/>
        </w:rPr>
        <w:t>el 2° Libro dei Re: «</w:t>
      </w:r>
      <w:r>
        <w:rPr>
          <w:rFonts w:ascii="Times New Roman" w:hAnsi="Times New Roman"/>
          <w:i/>
          <w:color w:val="000000"/>
        </w:rPr>
        <w:t xml:space="preserve">Ciò avvenne perché gli Israeliti </w:t>
      </w:r>
      <w:r>
        <w:rPr>
          <w:rFonts w:ascii="Times New Roman" w:hAnsi="Times New Roman"/>
          <w:b/>
          <w:i/>
          <w:color w:val="000000"/>
        </w:rPr>
        <w:t>avevano peccato contro il Signore</w:t>
      </w:r>
      <w:r>
        <w:rPr>
          <w:rFonts w:ascii="Times New Roman" w:hAnsi="Times New Roman"/>
          <w:i/>
          <w:color w:val="000000"/>
        </w:rPr>
        <w:t>, loro Dio, che li aveva fatti uscire dalla terra d’Egitto, dalle mani del faraone, re d’Egitto. Essi venerarono altri dèi,  seguirono le leggi delle nazioni che il Signore aveva scacciato davanti agli Israeliti, e quelle introdotte dai re d’Israele.  Gli Israeliti si costruirono alture in ogni loro città, dalla torre di guardia alla città fortificata.  Si eressero stele  e pali sacri  su ogni alto colle  e sotto ogni albero verde; fecero azioni cattive, irritando il Signore. Eppure il Signore,</w:t>
      </w:r>
      <w:r>
        <w:rPr>
          <w:rFonts w:ascii="Times New Roman" w:hAnsi="Times New Roman"/>
          <w:b/>
          <w:i/>
          <w:color w:val="000000"/>
        </w:rPr>
        <w:t xml:space="preserve"> per mezzo di tutti i suoi profeti e dei veggenti</w:t>
      </w:r>
      <w:r>
        <w:rPr>
          <w:rFonts w:ascii="Times New Roman" w:hAnsi="Times New Roman"/>
          <w:i/>
          <w:color w:val="000000"/>
        </w:rPr>
        <w:t>, aveva ordinato a Israele e a Giuda: «</w:t>
      </w:r>
      <w:r>
        <w:rPr>
          <w:rFonts w:ascii="Times New Roman" w:hAnsi="Times New Roman"/>
          <w:b/>
          <w:i/>
          <w:color w:val="000000"/>
        </w:rPr>
        <w:t>Convertitevi</w:t>
      </w:r>
      <w:r>
        <w:rPr>
          <w:rFonts w:ascii="Times New Roman" w:hAnsi="Times New Roman"/>
          <w:i/>
          <w:color w:val="000000"/>
        </w:rPr>
        <w:t xml:space="preserve"> dalle vostre vie malvagie e osservate i miei comandi e i miei decreti secondo tutta la legge che io ho prescritto ai vostri padri e che ho trasmesso a voi per mezzo dei miei servi, </w:t>
      </w:r>
      <w:r>
        <w:rPr>
          <w:rFonts w:ascii="Times New Roman" w:hAnsi="Times New Roman"/>
          <w:b/>
          <w:i/>
          <w:color w:val="000000"/>
        </w:rPr>
        <w:t>i profeti</w:t>
      </w:r>
      <w:r>
        <w:rPr>
          <w:rFonts w:ascii="Times New Roman" w:hAnsi="Times New Roman"/>
          <w:i/>
          <w:color w:val="000000"/>
        </w:rPr>
        <w:t xml:space="preserve">».  Ma essi </w:t>
      </w:r>
      <w:r>
        <w:rPr>
          <w:rFonts w:ascii="Times New Roman" w:hAnsi="Times New Roman"/>
          <w:b/>
          <w:i/>
          <w:color w:val="000000"/>
        </w:rPr>
        <w:t>non ascoltarono</w:t>
      </w:r>
      <w:r>
        <w:rPr>
          <w:rFonts w:ascii="Times New Roman" w:hAnsi="Times New Roman"/>
          <w:i/>
          <w:color w:val="000000"/>
        </w:rPr>
        <w:t xml:space="preserve">, anzi resero  dura la loro cervice, come quella dei loro padri, i quali non avevano creduto al Signore, loro Dio. </w:t>
      </w:r>
      <w:r w:rsidR="002131FE">
        <w:rPr>
          <w:rFonts w:ascii="Times New Roman" w:hAnsi="Times New Roman"/>
          <w:b/>
          <w:i/>
          <w:color w:val="000000"/>
        </w:rPr>
        <w:t>Seguirono le vanità</w:t>
      </w:r>
      <w:r>
        <w:rPr>
          <w:rFonts w:ascii="Times New Roman" w:hAnsi="Times New Roman"/>
          <w:b/>
          <w:i/>
          <w:color w:val="000000"/>
        </w:rPr>
        <w:t xml:space="preserve"> e diventarono vani</w:t>
      </w:r>
      <w:r>
        <w:rPr>
          <w:rFonts w:ascii="Times New Roman" w:hAnsi="Times New Roman"/>
          <w:i/>
          <w:color w:val="000000"/>
        </w:rPr>
        <w:t xml:space="preserve">, seguirono le nazioni intorno a loro, pur avendo il Signore proibito di agire come quelle. Fecero passare i loro figli e le loro figlie per il fuoco, praticarono la divinazione e trassero presagi. Il Signore si adirò molto contro Israele e </w:t>
      </w:r>
      <w:r>
        <w:rPr>
          <w:rFonts w:ascii="Times New Roman" w:hAnsi="Times New Roman"/>
          <w:b/>
          <w:i/>
          <w:color w:val="000000"/>
        </w:rPr>
        <w:t>lo allontanò dal suo volto</w:t>
      </w:r>
      <w:r>
        <w:rPr>
          <w:rFonts w:ascii="Times New Roman" w:hAnsi="Times New Roman"/>
          <w:i/>
          <w:color w:val="000000"/>
        </w:rPr>
        <w:t xml:space="preserve"> e non rimase che la sola tribù  di Giuda. Neppure quelli di Giuda osservarono i comandi del Signore, loro Dio, ma seguirono le leggi d’Israele. </w:t>
      </w:r>
      <w:r>
        <w:rPr>
          <w:rFonts w:ascii="Times New Roman" w:hAnsi="Times New Roman"/>
          <w:b/>
          <w:i/>
          <w:color w:val="000000"/>
        </w:rPr>
        <w:t>Il Signore rigettò tutta la discendenza d’Israele</w:t>
      </w:r>
      <w:r>
        <w:rPr>
          <w:rFonts w:ascii="Times New Roman" w:hAnsi="Times New Roman"/>
          <w:i/>
          <w:color w:val="000000"/>
        </w:rPr>
        <w:t>; li umiliò e li consegnò in mano a predoni, finché non li scacciò dal suo volto</w:t>
      </w:r>
      <w:r>
        <w:rPr>
          <w:rFonts w:ascii="Times New Roman" w:hAnsi="Times New Roman"/>
          <w:color w:val="000000"/>
        </w:rPr>
        <w:t xml:space="preserve"> (</w:t>
      </w:r>
      <w:r>
        <w:rPr>
          <w:rFonts w:ascii="Times New Roman" w:hAnsi="Times New Roman"/>
          <w:color w:val="000000"/>
          <w:szCs w:val="24"/>
        </w:rPr>
        <w:t>2 Re 17,7-20).</w:t>
      </w:r>
    </w:p>
    <w:p w:rsidR="00ED02CA" w:rsidRDefault="00ED02CA" w:rsidP="007F37C6">
      <w:pPr>
        <w:autoSpaceDE w:val="0"/>
        <w:autoSpaceDN w:val="0"/>
        <w:adjustRightInd w:val="0"/>
        <w:ind w:firstLine="225"/>
        <w:jc w:val="both"/>
        <w:rPr>
          <w:rFonts w:ascii="Georgia" w:hAnsi="Georgia"/>
          <w:color w:val="000000"/>
          <w:szCs w:val="24"/>
        </w:rPr>
      </w:pPr>
      <w:r>
        <w:rPr>
          <w:rFonts w:ascii="Verdana" w:hAnsi="Georgia"/>
          <w:color w:val="000000"/>
          <w:sz w:val="18"/>
          <w:szCs w:val="24"/>
        </w:rPr>
        <w:t xml:space="preserve"> </w:t>
      </w:r>
    </w:p>
    <w:p w:rsidR="00ED02CA" w:rsidRDefault="00ED02CA" w:rsidP="007F37C6">
      <w:pPr>
        <w:autoSpaceDE w:val="0"/>
        <w:autoSpaceDN w:val="0"/>
        <w:adjustRightInd w:val="0"/>
        <w:ind w:firstLine="708"/>
        <w:jc w:val="both"/>
        <w:rPr>
          <w:rFonts w:ascii="Georgia" w:hAnsi="Georgia"/>
          <w:color w:val="000000"/>
          <w:szCs w:val="24"/>
        </w:rPr>
      </w:pPr>
      <w:r>
        <w:rPr>
          <w:rFonts w:ascii="Times New Roman" w:hAnsi="Times New Roman"/>
          <w:b/>
          <w:szCs w:val="24"/>
        </w:rPr>
        <w:t xml:space="preserve">Uguale giudizio negativo </w:t>
      </w:r>
      <w:r>
        <w:rPr>
          <w:rFonts w:ascii="Times New Roman" w:hAnsi="Times New Roman"/>
          <w:szCs w:val="24"/>
        </w:rPr>
        <w:t>viene dato dall’autore del 2° libro delle Cronache per il regno di Giuda distrutto dal Nabucodonosor (605-562) re di Babilonia nel 597: «</w:t>
      </w:r>
      <w:r>
        <w:rPr>
          <w:rFonts w:ascii="Times New Roman" w:hAnsi="Times New Roman"/>
          <w:i/>
        </w:rPr>
        <w:t>T</w:t>
      </w:r>
      <w:r>
        <w:rPr>
          <w:rFonts w:ascii="Times New Roman" w:hAnsi="Times New Roman"/>
          <w:i/>
          <w:color w:val="000000"/>
        </w:rPr>
        <w:t xml:space="preserve">utti i capi di Giuda, i sacerdoti e il popolo </w:t>
      </w:r>
      <w:r>
        <w:rPr>
          <w:rFonts w:ascii="Times New Roman" w:hAnsi="Times New Roman"/>
          <w:b/>
          <w:i/>
          <w:color w:val="000000"/>
        </w:rPr>
        <w:t>moltiplicarono le loro infedeltà,</w:t>
      </w:r>
      <w:r>
        <w:rPr>
          <w:rFonts w:ascii="Times New Roman" w:hAnsi="Times New Roman"/>
          <w:i/>
          <w:color w:val="000000"/>
        </w:rPr>
        <w:t xml:space="preserve"> imitando in tutto gli abomini degli altri popoli, e contaminarono il tempio, che il Signore si era consacrato a Gerusalemme. Il Signore, Dio dei loro padri, mandò premurosamente e incessantemente </w:t>
      </w:r>
      <w:r>
        <w:rPr>
          <w:rFonts w:ascii="Times New Roman" w:hAnsi="Times New Roman"/>
          <w:b/>
          <w:i/>
          <w:color w:val="000000"/>
        </w:rPr>
        <w:t>i suoi messaggeri  ad ammonirli</w:t>
      </w:r>
      <w:r>
        <w:rPr>
          <w:rFonts w:ascii="Times New Roman" w:hAnsi="Times New Roman"/>
          <w:i/>
          <w:color w:val="000000"/>
        </w:rPr>
        <w:t xml:space="preserve">, perché aveva compassione del suo popolo e della sua dimora.  Ma essi si beffarono  dei messaggeri di Dio, disprezzarono le sue parole e schernirono i suoi </w:t>
      </w:r>
      <w:r>
        <w:rPr>
          <w:rFonts w:ascii="Times New Roman" w:hAnsi="Times New Roman"/>
          <w:b/>
          <w:i/>
          <w:color w:val="000000"/>
        </w:rPr>
        <w:t>profeti</w:t>
      </w:r>
      <w:r>
        <w:rPr>
          <w:rFonts w:ascii="Times New Roman" w:hAnsi="Times New Roman"/>
          <w:i/>
          <w:color w:val="000000"/>
        </w:rPr>
        <w:t xml:space="preserve"> al punto che l’ira del Signore contro il suo </w:t>
      </w:r>
      <w:r>
        <w:rPr>
          <w:rFonts w:ascii="Times New Roman" w:hAnsi="Times New Roman"/>
          <w:i/>
          <w:color w:val="000000"/>
        </w:rPr>
        <w:lastRenderedPageBreak/>
        <w:t xml:space="preserve">popolo raggiunse il culmine, senza più rimedio. Allora il Signore fece salire contro di loro </w:t>
      </w:r>
      <w:r>
        <w:rPr>
          <w:rFonts w:ascii="Times New Roman" w:hAnsi="Times New Roman"/>
          <w:b/>
          <w:i/>
          <w:color w:val="000000"/>
        </w:rPr>
        <w:t>il re dei Caldei,</w:t>
      </w:r>
      <w:r>
        <w:rPr>
          <w:rFonts w:ascii="Times New Roman" w:hAnsi="Times New Roman"/>
          <w:i/>
          <w:color w:val="000000"/>
        </w:rPr>
        <w:t xml:space="preserve">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w:t>
      </w:r>
      <w:r>
        <w:rPr>
          <w:rFonts w:ascii="Times New Roman" w:hAnsi="Times New Roman"/>
          <w:b/>
          <w:i/>
          <w:color w:val="000000"/>
        </w:rPr>
        <w:t>deportò a Babilonia</w:t>
      </w:r>
      <w:r>
        <w:rPr>
          <w:rFonts w:ascii="Times New Roman" w:hAnsi="Times New Roman"/>
          <w:i/>
          <w:color w:val="000000"/>
        </w:rPr>
        <w:t xml:space="preserve"> gli scampati alla spada, che divennero schiavi suoi e dei suoi figli fino all’avvento del regno persiano,  attuandosi così</w:t>
      </w:r>
      <w:r>
        <w:rPr>
          <w:rFonts w:ascii="Times New Roman" w:hAnsi="Times New Roman"/>
          <w:b/>
          <w:i/>
          <w:color w:val="000000"/>
        </w:rPr>
        <w:t xml:space="preserve"> la parola del Signore per bocca di Geremia</w:t>
      </w:r>
      <w:r>
        <w:rPr>
          <w:rFonts w:ascii="Times New Roman" w:hAnsi="Times New Roman"/>
          <w:i/>
          <w:color w:val="000000"/>
        </w:rPr>
        <w:t xml:space="preserve">: «Finché la terra non abbia scontato i suoi sabati, essa riposerà per tutto il tempo della desolazione fino al compiersi di </w:t>
      </w:r>
      <w:r>
        <w:rPr>
          <w:rFonts w:ascii="Times New Roman" w:hAnsi="Times New Roman"/>
          <w:b/>
          <w:i/>
          <w:color w:val="000000"/>
        </w:rPr>
        <w:t>settanta anni</w:t>
      </w:r>
      <w:r>
        <w:rPr>
          <w:rFonts w:ascii="Verdana" w:hAnsi="Georgia"/>
          <w:color w:val="000000"/>
          <w:sz w:val="18"/>
          <w:szCs w:val="24"/>
        </w:rPr>
        <w:t>»</w:t>
      </w:r>
      <w:r>
        <w:rPr>
          <w:rFonts w:ascii="Times New Roman" w:hAnsi="Times New Roman"/>
          <w:color w:val="000000"/>
          <w:sz w:val="18"/>
          <w:szCs w:val="24"/>
        </w:rPr>
        <w:t xml:space="preserve"> </w:t>
      </w:r>
      <w:r>
        <w:rPr>
          <w:rFonts w:ascii="Times New Roman" w:hAnsi="Times New Roman"/>
          <w:color w:val="000000"/>
          <w:szCs w:val="24"/>
        </w:rPr>
        <w:t>(2Cron 36,14-21)</w:t>
      </w:r>
      <w:r>
        <w:rPr>
          <w:rFonts w:ascii="Verdana" w:hAnsi="Georgia"/>
          <w:color w:val="000000"/>
          <w:sz w:val="18"/>
          <w:szCs w:val="24"/>
        </w:rPr>
        <w:t xml:space="preserve"> </w:t>
      </w:r>
    </w:p>
    <w:p w:rsidR="00ED02CA" w:rsidRDefault="00ED02CA" w:rsidP="007F37C6">
      <w:pPr>
        <w:ind w:firstLine="708"/>
        <w:jc w:val="both"/>
        <w:rPr>
          <w:rFonts w:ascii="Times New Roman" w:hAnsi="Times New Roman"/>
          <w:szCs w:val="24"/>
        </w:rPr>
      </w:pPr>
    </w:p>
    <w:p w:rsidR="00ED02CA" w:rsidRDefault="00ED02CA" w:rsidP="007F37C6">
      <w:pPr>
        <w:ind w:firstLine="708"/>
        <w:jc w:val="both"/>
        <w:rPr>
          <w:rFonts w:ascii="Times New Roman" w:hAnsi="Times New Roman"/>
          <w:szCs w:val="24"/>
        </w:rPr>
      </w:pPr>
      <w:r>
        <w:rPr>
          <w:rFonts w:ascii="Times New Roman" w:hAnsi="Times New Roman"/>
          <w:szCs w:val="24"/>
        </w:rPr>
        <w:t xml:space="preserve">I testi che ho riportato contengono una dura condanna della monarchia ebraica, ma rivelano </w:t>
      </w:r>
      <w:r>
        <w:rPr>
          <w:rFonts w:ascii="Times New Roman" w:hAnsi="Times New Roman"/>
          <w:b/>
          <w:szCs w:val="24"/>
        </w:rPr>
        <w:t>due pregi importanti</w:t>
      </w:r>
      <w:r>
        <w:rPr>
          <w:rFonts w:ascii="Times New Roman" w:hAnsi="Times New Roman"/>
          <w:szCs w:val="24"/>
        </w:rPr>
        <w:t xml:space="preserve">: mostrano la </w:t>
      </w:r>
      <w:r>
        <w:rPr>
          <w:rFonts w:ascii="Times New Roman" w:hAnsi="Times New Roman"/>
          <w:b/>
          <w:szCs w:val="24"/>
        </w:rPr>
        <w:t>libertà di critica</w:t>
      </w:r>
      <w:r>
        <w:rPr>
          <w:rFonts w:ascii="Times New Roman" w:hAnsi="Times New Roman"/>
          <w:szCs w:val="24"/>
        </w:rPr>
        <w:t xml:space="preserve"> pubblica che gli ebrei hanno sempre esercitato nei  confronti delle autorità costituite e indicano la </w:t>
      </w:r>
      <w:r>
        <w:rPr>
          <w:rFonts w:ascii="Times New Roman" w:hAnsi="Times New Roman"/>
          <w:b/>
          <w:szCs w:val="24"/>
        </w:rPr>
        <w:t>libertà di stampa</w:t>
      </w:r>
      <w:r>
        <w:rPr>
          <w:rFonts w:ascii="Times New Roman" w:hAnsi="Times New Roman"/>
          <w:szCs w:val="24"/>
        </w:rPr>
        <w:t xml:space="preserve"> che gli scrittori godettero  a corte, dove fu loro permesso di trascri</w:t>
      </w:r>
      <w:r w:rsidR="002131FE">
        <w:rPr>
          <w:rFonts w:ascii="Times New Roman" w:hAnsi="Times New Roman"/>
          <w:szCs w:val="24"/>
        </w:rPr>
        <w:t>vere</w:t>
      </w:r>
      <w:r>
        <w:rPr>
          <w:rFonts w:ascii="Times New Roman" w:hAnsi="Times New Roman"/>
          <w:szCs w:val="24"/>
        </w:rPr>
        <w:t xml:space="preserve"> le loro contestazioni. Così la Bibbia non risparmia ai suoi sovrani giudizi critici chiari, severi e coraggiosi a nome di Dio; nessun re, fosse pure Davide o Salomone, si </w:t>
      </w:r>
      <w:r w:rsidR="002131FE">
        <w:rPr>
          <w:rFonts w:ascii="Times New Roman" w:hAnsi="Times New Roman"/>
          <w:szCs w:val="24"/>
        </w:rPr>
        <w:t>è</w:t>
      </w:r>
      <w:r>
        <w:rPr>
          <w:rFonts w:ascii="Times New Roman" w:hAnsi="Times New Roman"/>
          <w:szCs w:val="24"/>
        </w:rPr>
        <w:t xml:space="preserve"> sottratt</w:t>
      </w:r>
      <w:r w:rsidR="002131FE">
        <w:rPr>
          <w:rFonts w:ascii="Times New Roman" w:hAnsi="Times New Roman"/>
          <w:szCs w:val="24"/>
        </w:rPr>
        <w:t>o</w:t>
      </w:r>
      <w:r>
        <w:rPr>
          <w:rFonts w:ascii="Times New Roman" w:hAnsi="Times New Roman"/>
          <w:szCs w:val="24"/>
        </w:rPr>
        <w:t xml:space="preserve"> a queste taglienti critiche. Tutto questo è indice e garanzia di </w:t>
      </w:r>
      <w:r>
        <w:rPr>
          <w:rFonts w:ascii="Times New Roman" w:hAnsi="Times New Roman"/>
          <w:b/>
          <w:szCs w:val="24"/>
        </w:rPr>
        <w:t>obiettività storica</w:t>
      </w:r>
      <w:r>
        <w:rPr>
          <w:rFonts w:ascii="Times New Roman" w:hAnsi="Times New Roman"/>
          <w:szCs w:val="24"/>
        </w:rPr>
        <w:t xml:space="preserve">.  </w:t>
      </w:r>
    </w:p>
    <w:p w:rsidR="00ED02CA" w:rsidRDefault="00ED02CA" w:rsidP="007F37C6">
      <w:pPr>
        <w:jc w:val="both"/>
        <w:rPr>
          <w:rFonts w:ascii="Times New Roman" w:hAnsi="Times New Roman"/>
          <w:szCs w:val="24"/>
        </w:rPr>
      </w:pPr>
    </w:p>
    <w:p w:rsidR="00ED02CA" w:rsidRDefault="00C4085C" w:rsidP="007F37C6">
      <w:pPr>
        <w:ind w:firstLine="708"/>
        <w:jc w:val="both"/>
        <w:rPr>
          <w:rFonts w:ascii="Times New Roman" w:hAnsi="Times New Roman"/>
          <w:szCs w:val="24"/>
        </w:rPr>
      </w:pPr>
      <w:r w:rsidRPr="00C4085C">
        <w:rPr>
          <w:noProof/>
        </w:rPr>
        <w:pict>
          <v:shapetype id="_x0000_t202" coordsize="21600,21600" o:spt="202" path="m,l,21600r21600,l21600,xe">
            <v:stroke joinstyle="miter"/>
            <v:path gradientshapeok="t" o:connecttype="rect"/>
          </v:shapetype>
          <v:shape id="_x0000_s1125" type="#_x0000_t202" style="position:absolute;left:0;text-align:left;margin-left:252.4pt;margin-top:183.05pt;width:229.5pt;height:12.45pt;z-index:251603968" stroked="f">
            <v:textbox inset="0,0,0,0">
              <w:txbxContent>
                <w:p w:rsidR="00AC06D4" w:rsidRPr="000349A2" w:rsidRDefault="00AC06D4" w:rsidP="00D82506">
                  <w:pPr>
                    <w:pStyle w:val="Didascalia"/>
                    <w:jc w:val="center"/>
                    <w:rPr>
                      <w:rFonts w:ascii="Times New Roman" w:hAnsi="Times New Roman"/>
                      <w:sz w:val="24"/>
                      <w:szCs w:val="24"/>
                    </w:rPr>
                  </w:pPr>
                  <w:r>
                    <w:t>Tutto si decideva nell'ambito della tribù</w:t>
                  </w:r>
                </w:p>
              </w:txbxContent>
            </v:textbox>
            <w10:wrap type="square"/>
          </v:shape>
        </w:pict>
      </w:r>
      <w:r w:rsidR="00ED02CA">
        <w:rPr>
          <w:rFonts w:ascii="Times New Roman" w:hAnsi="Times New Roman"/>
          <w:szCs w:val="24"/>
        </w:rPr>
        <w:t xml:space="preserve">La storia che prendiamo in considerazione abbraccia poco più di cinquecento anni: Essa va dall’ingresso del popolo ebraico nella Terra Promessa (1220 circa a. C.) alla distruzione dei due regni descritti sopra (721 e 597 a.C.). E’ contenuta nei primi sei libri della raccolta: </w:t>
      </w:r>
      <w:r w:rsidR="00ED02CA">
        <w:rPr>
          <w:rFonts w:ascii="Times New Roman" w:hAnsi="Times New Roman"/>
          <w:b/>
          <w:szCs w:val="24"/>
        </w:rPr>
        <w:t>Giosuè, Giudici, 1 e 2 Samuele; 1 e 2 Libro dei Re</w:t>
      </w:r>
      <w:r w:rsidR="00ED02CA">
        <w:rPr>
          <w:rFonts w:ascii="Times New Roman" w:hAnsi="Times New Roman"/>
          <w:szCs w:val="24"/>
        </w:rPr>
        <w:t>, che gli ebrei definivano «</w:t>
      </w:r>
      <w:r w:rsidR="00ED02CA">
        <w:rPr>
          <w:rFonts w:ascii="Times New Roman" w:hAnsi="Times New Roman"/>
          <w:b/>
          <w:i/>
          <w:szCs w:val="24"/>
        </w:rPr>
        <w:t>Profeti anteriori</w:t>
      </w:r>
      <w:r w:rsidR="00ED02CA">
        <w:rPr>
          <w:rFonts w:ascii="Times New Roman" w:hAnsi="Times New Roman"/>
          <w:szCs w:val="24"/>
        </w:rPr>
        <w:t>», perché li consideravano scritti da scrittori-profeti capaci di interpretare il significato degli eventi da loro narrati e farne una catechesi. Lo studio critico li considera oggi come prodotto della «</w:t>
      </w:r>
      <w:r w:rsidR="00ED02CA">
        <w:rPr>
          <w:rFonts w:ascii="Times New Roman" w:hAnsi="Times New Roman"/>
          <w:b/>
          <w:szCs w:val="24"/>
        </w:rPr>
        <w:t>storiografia deuteronomistica</w:t>
      </w:r>
      <w:r w:rsidR="00ED02CA">
        <w:rPr>
          <w:rFonts w:ascii="Times New Roman" w:hAnsi="Times New Roman"/>
          <w:szCs w:val="24"/>
        </w:rPr>
        <w:t xml:space="preserve">». La loro stesura definitiva  risale al tempo del re Giosia (640-609 a.C.), ma il materiale è molto più antico e composto di tradizioni orali e scritte di genere vario, come cronache di corte, resoconti storici di archivi reali, biografie, epopee nazionali, canti epici e racconti tribali. Il giudizio espresso in questi racconti deriva dalla </w:t>
      </w:r>
      <w:r w:rsidR="00ED02CA">
        <w:rPr>
          <w:rFonts w:ascii="Times New Roman" w:hAnsi="Times New Roman"/>
          <w:b/>
          <w:szCs w:val="24"/>
        </w:rPr>
        <w:t>visione religiosa e spirituale del Deuteronomio,</w:t>
      </w:r>
      <w:r w:rsidR="00ED02CA">
        <w:rPr>
          <w:rFonts w:ascii="Times New Roman" w:hAnsi="Times New Roman"/>
          <w:szCs w:val="24"/>
        </w:rPr>
        <w:t xml:space="preserve"> che mette al centro il Tempio di Gerusalemme come unico luogo di culto e considera le vicende dolorose e la fine dei regni alla luce dell’infedeltà all’alleanza con Dio. </w:t>
      </w:r>
      <w:r w:rsidR="00E33DB3">
        <w:rPr>
          <w:noProof/>
        </w:rPr>
        <w:drawing>
          <wp:anchor distT="0" distB="0" distL="114300" distR="114300" simplePos="0" relativeHeight="251589632" behindDoc="0" locked="0" layoutInCell="1" allowOverlap="1">
            <wp:simplePos x="0" y="0"/>
            <wp:positionH relativeFrom="margin">
              <wp:align>right</wp:align>
            </wp:positionH>
            <wp:positionV relativeFrom="margin">
              <wp:align>center</wp:align>
            </wp:positionV>
            <wp:extent cx="2914650" cy="2209165"/>
            <wp:effectExtent l="19050" t="0" r="0" b="0"/>
            <wp:wrapSquare wrapText="bothSides"/>
            <wp:docPr id="102" name="Immagine 101" descr="la trib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 descr="la tribù"/>
                    <pic:cNvPicPr>
                      <a:picLocks noChangeAspect="1" noChangeArrowheads="1"/>
                    </pic:cNvPicPr>
                  </pic:nvPicPr>
                  <pic:blipFill>
                    <a:blip r:embed="rId9"/>
                    <a:srcRect/>
                    <a:stretch>
                      <a:fillRect/>
                    </a:stretch>
                  </pic:blipFill>
                  <pic:spPr bwMode="auto">
                    <a:xfrm>
                      <a:off x="0" y="0"/>
                      <a:ext cx="2914650" cy="2209165"/>
                    </a:xfrm>
                    <a:prstGeom prst="rect">
                      <a:avLst/>
                    </a:prstGeom>
                    <a:noFill/>
                  </pic:spPr>
                </pic:pic>
              </a:graphicData>
            </a:graphic>
          </wp:anchor>
        </w:drawing>
      </w:r>
    </w:p>
    <w:p w:rsidR="00ED02CA" w:rsidRDefault="00ED02CA" w:rsidP="007F37C6">
      <w:pPr>
        <w:jc w:val="both"/>
        <w:rPr>
          <w:rFonts w:ascii="Times New Roman" w:hAnsi="Times New Roman"/>
          <w:szCs w:val="24"/>
        </w:rPr>
      </w:pPr>
    </w:p>
    <w:p w:rsidR="00ED02CA" w:rsidRDefault="00ED02CA" w:rsidP="007F37C6">
      <w:pPr>
        <w:ind w:firstLine="708"/>
        <w:jc w:val="both"/>
        <w:rPr>
          <w:rFonts w:ascii="Times New Roman" w:hAnsi="Times New Roman"/>
          <w:b/>
          <w:szCs w:val="24"/>
        </w:rPr>
      </w:pPr>
      <w:r>
        <w:rPr>
          <w:rFonts w:ascii="Times New Roman" w:hAnsi="Times New Roman"/>
          <w:szCs w:val="24"/>
        </w:rPr>
        <w:t xml:space="preserve">A questi sei libri se ne aggiungono ancora quattro: </w:t>
      </w:r>
      <w:r>
        <w:rPr>
          <w:rFonts w:ascii="Times New Roman" w:hAnsi="Times New Roman"/>
          <w:b/>
          <w:szCs w:val="24"/>
        </w:rPr>
        <w:t>1 e 2 Cronache, Esdra e Neemia</w:t>
      </w:r>
      <w:r>
        <w:rPr>
          <w:rFonts w:ascii="Times New Roman" w:hAnsi="Times New Roman"/>
          <w:szCs w:val="24"/>
        </w:rPr>
        <w:t xml:space="preserve">, di composizione più tardiva, come è quella del dopo-esilio babilonese e della restaurazione nazionale (V sec. a.C.). Gli ebrei li avevano relegati nella raccolta generica degli </w:t>
      </w:r>
      <w:r>
        <w:rPr>
          <w:rFonts w:ascii="Times New Roman" w:hAnsi="Times New Roman"/>
          <w:b/>
          <w:szCs w:val="24"/>
        </w:rPr>
        <w:t>Scritti</w:t>
      </w:r>
      <w:r>
        <w:rPr>
          <w:rFonts w:ascii="Times New Roman" w:hAnsi="Times New Roman"/>
          <w:szCs w:val="24"/>
        </w:rPr>
        <w:t xml:space="preserve"> (</w:t>
      </w:r>
      <w:r>
        <w:rPr>
          <w:rFonts w:ascii="Times New Roman" w:hAnsi="Times New Roman"/>
          <w:i/>
          <w:szCs w:val="24"/>
        </w:rPr>
        <w:t>Ketubim</w:t>
      </w:r>
      <w:r>
        <w:rPr>
          <w:rFonts w:ascii="Times New Roman" w:hAnsi="Times New Roman"/>
          <w:szCs w:val="24"/>
        </w:rPr>
        <w:t xml:space="preserve">). Essi portano il segno della </w:t>
      </w:r>
      <w:r>
        <w:rPr>
          <w:rFonts w:ascii="Times New Roman" w:hAnsi="Times New Roman"/>
          <w:b/>
          <w:szCs w:val="24"/>
        </w:rPr>
        <w:t>tradizione sacerdotale</w:t>
      </w:r>
      <w:r>
        <w:rPr>
          <w:rFonts w:ascii="Times New Roman" w:hAnsi="Times New Roman"/>
          <w:szCs w:val="24"/>
        </w:rPr>
        <w:t xml:space="preserve"> che aveva avuto il suo fulcro nella predicazione del profeta </w:t>
      </w:r>
      <w:r>
        <w:rPr>
          <w:rFonts w:ascii="Times New Roman" w:hAnsi="Times New Roman"/>
          <w:b/>
          <w:szCs w:val="24"/>
        </w:rPr>
        <w:t>Ezechiele</w:t>
      </w:r>
      <w:r>
        <w:rPr>
          <w:rFonts w:ascii="Times New Roman" w:hAnsi="Times New Roman"/>
          <w:szCs w:val="24"/>
        </w:rPr>
        <w:t xml:space="preserve"> (593-570). Questa tradizione metteva il Tempio di Gerusalemme e il suo culto al centro della vita nazionale e propugnava una concezione teocratica del governo nazionale in contrasto con la monarchia che aveva portato Israele alla rovina. Tutto era giudicato in base al criterio di una </w:t>
      </w:r>
      <w:r>
        <w:rPr>
          <w:rFonts w:ascii="Times New Roman" w:hAnsi="Times New Roman"/>
          <w:b/>
          <w:szCs w:val="24"/>
        </w:rPr>
        <w:t xml:space="preserve">teocrazia ideale </w:t>
      </w:r>
      <w:r>
        <w:rPr>
          <w:rFonts w:ascii="Times New Roman" w:hAnsi="Times New Roman"/>
          <w:szCs w:val="24"/>
        </w:rPr>
        <w:t xml:space="preserve">che rivendicava la regalità di Dio. </w:t>
      </w:r>
      <w:r>
        <w:rPr>
          <w:rFonts w:ascii="Times New Roman" w:hAnsi="Times New Roman"/>
          <w:b/>
          <w:szCs w:val="24"/>
        </w:rPr>
        <w:t xml:space="preserve"> </w:t>
      </w:r>
      <w:r>
        <w:rPr>
          <w:rFonts w:ascii="Times New Roman" w:hAnsi="Times New Roman"/>
          <w:szCs w:val="24"/>
        </w:rPr>
        <w:t xml:space="preserve">  </w:t>
      </w:r>
    </w:p>
    <w:p w:rsidR="00ED02CA" w:rsidRDefault="00ED02CA" w:rsidP="007F37C6">
      <w:pPr>
        <w:jc w:val="both"/>
        <w:rPr>
          <w:rFonts w:ascii="Times New Roman" w:hAnsi="Times New Roman"/>
          <w:b/>
          <w:szCs w:val="24"/>
        </w:rPr>
      </w:pPr>
    </w:p>
    <w:p w:rsidR="00ED02CA" w:rsidRDefault="00ED02CA" w:rsidP="007F37C6">
      <w:pPr>
        <w:jc w:val="both"/>
        <w:rPr>
          <w:rFonts w:ascii="Times New Roman" w:hAnsi="Times New Roman"/>
          <w:b/>
          <w:szCs w:val="24"/>
        </w:rPr>
      </w:pPr>
    </w:p>
    <w:p w:rsidR="00ED02CA" w:rsidRDefault="00ED02CA" w:rsidP="007F37C6">
      <w:pPr>
        <w:jc w:val="both"/>
        <w:rPr>
          <w:rFonts w:ascii="Times New Roman" w:hAnsi="Times New Roman"/>
          <w:b/>
          <w:szCs w:val="24"/>
        </w:rPr>
      </w:pPr>
    </w:p>
    <w:p w:rsidR="00ED02CA" w:rsidRDefault="00ED02CA" w:rsidP="007F37C6">
      <w:pPr>
        <w:ind w:firstLine="708"/>
        <w:jc w:val="both"/>
        <w:rPr>
          <w:rFonts w:ascii="Times New Roman" w:hAnsi="Times New Roman"/>
          <w:b/>
          <w:szCs w:val="24"/>
        </w:rPr>
      </w:pPr>
      <w:r>
        <w:rPr>
          <w:rFonts w:ascii="Times New Roman" w:hAnsi="Times New Roman"/>
          <w:b/>
          <w:szCs w:val="24"/>
        </w:rPr>
        <w:lastRenderedPageBreak/>
        <w:t>La conquista della terra da parte di Giosuè</w:t>
      </w:r>
    </w:p>
    <w:p w:rsidR="00ED02CA" w:rsidRDefault="00ED02CA" w:rsidP="007F37C6">
      <w:pPr>
        <w:jc w:val="both"/>
        <w:rPr>
          <w:rFonts w:ascii="Times New Roman" w:hAnsi="Times New Roman"/>
          <w:b/>
          <w:szCs w:val="24"/>
        </w:rPr>
      </w:pPr>
    </w:p>
    <w:p w:rsidR="00ED02CA" w:rsidRDefault="00C4085C" w:rsidP="007F37C6">
      <w:pPr>
        <w:ind w:firstLine="708"/>
        <w:jc w:val="both"/>
        <w:rPr>
          <w:rFonts w:ascii="Times New Roman" w:hAnsi="Times New Roman"/>
          <w:szCs w:val="24"/>
        </w:rPr>
      </w:pPr>
      <w:r w:rsidRPr="00C4085C">
        <w:rPr>
          <w:noProof/>
        </w:rPr>
        <w:pict>
          <v:shape id="_x0000_s1127" type="#_x0000_t202" style="position:absolute;left:0;text-align:left;margin-left:341.45pt;margin-top:184.6pt;width:140.95pt;height:14.75pt;z-index:251593728" stroked="f">
            <v:textbox inset="0,0,0,0">
              <w:txbxContent>
                <w:p w:rsidR="00AC06D4" w:rsidRDefault="00AC06D4" w:rsidP="00D82506">
                  <w:pPr>
                    <w:pStyle w:val="Didascalia"/>
                    <w:jc w:val="center"/>
                    <w:rPr>
                      <w:rFonts w:ascii="Times New Roman" w:hAnsi="Times New Roman"/>
                      <w:noProof/>
                      <w:sz w:val="24"/>
                      <w:szCs w:val="24"/>
                    </w:rPr>
                  </w:pPr>
                  <w:r>
                    <w:t>G. Doré: L'angelo e Giosuè</w:t>
                  </w:r>
                </w:p>
              </w:txbxContent>
            </v:textbox>
            <w10:wrap type="square"/>
          </v:shape>
        </w:pict>
      </w:r>
      <w:r w:rsidR="00ED02CA">
        <w:rPr>
          <w:rFonts w:ascii="Times New Roman" w:hAnsi="Times New Roman"/>
          <w:szCs w:val="24"/>
        </w:rPr>
        <w:t xml:space="preserve">Ne tratta il libro omonimo, che </w:t>
      </w:r>
      <w:r w:rsidR="00ED02CA">
        <w:rPr>
          <w:rFonts w:ascii="Times New Roman" w:hAnsi="Times New Roman"/>
          <w:b/>
          <w:szCs w:val="24"/>
        </w:rPr>
        <w:t>continua la storia dell’esodo</w:t>
      </w:r>
      <w:r w:rsidR="00ED02CA">
        <w:rPr>
          <w:rFonts w:ascii="Times New Roman" w:hAnsi="Times New Roman"/>
          <w:szCs w:val="24"/>
        </w:rPr>
        <w:t xml:space="preserve"> portandola a compimento. Per questo, alcuni  studiosi  (</w:t>
      </w:r>
      <w:r w:rsidR="00ED02CA">
        <w:rPr>
          <w:rFonts w:ascii="Times New Roman" w:hAnsi="Times New Roman"/>
          <w:i/>
        </w:rPr>
        <w:t>J. Wellausen, G. Von Rad, R.H.Pfeifer</w:t>
      </w:r>
      <w:r w:rsidR="00ED02CA">
        <w:rPr>
          <w:rFonts w:ascii="Times New Roman" w:hAnsi="Times New Roman"/>
          <w:szCs w:val="24"/>
        </w:rPr>
        <w:t xml:space="preserve">) considerano Giosuè il sesto libro del pentateuco e parlano di </w:t>
      </w:r>
      <w:r w:rsidR="00ED02CA">
        <w:rPr>
          <w:rFonts w:ascii="Times New Roman" w:hAnsi="Times New Roman"/>
          <w:b/>
          <w:szCs w:val="24"/>
        </w:rPr>
        <w:t xml:space="preserve">Esateuco.  </w:t>
      </w:r>
      <w:r w:rsidR="00ED02CA">
        <w:rPr>
          <w:rFonts w:ascii="Times New Roman" w:hAnsi="Times New Roman"/>
          <w:szCs w:val="24"/>
        </w:rPr>
        <w:t>Essi</w:t>
      </w:r>
      <w:r w:rsidR="00ED02CA">
        <w:rPr>
          <w:rFonts w:ascii="Times New Roman" w:hAnsi="Times New Roman"/>
          <w:b/>
          <w:szCs w:val="24"/>
        </w:rPr>
        <w:t xml:space="preserve"> </w:t>
      </w:r>
      <w:r w:rsidR="00ED02CA">
        <w:rPr>
          <w:rFonts w:ascii="Times New Roman" w:hAnsi="Times New Roman"/>
          <w:szCs w:val="24"/>
        </w:rPr>
        <w:t>estendono la teoria documentaria del pentateuco anche al nostro libro e ne attribuiscono la composizione  graduale alle quattro  tradizioni classiche (J.E.P.D.)</w:t>
      </w:r>
      <w:r w:rsidR="00807CAB">
        <w:rPr>
          <w:rFonts w:ascii="Times New Roman" w:hAnsi="Times New Roman"/>
          <w:szCs w:val="24"/>
        </w:rPr>
        <w:t>.</w:t>
      </w:r>
      <w:r w:rsidR="00ED02CA">
        <w:rPr>
          <w:rFonts w:ascii="Times New Roman" w:hAnsi="Times New Roman"/>
          <w:szCs w:val="24"/>
        </w:rPr>
        <w:t xml:space="preserve">  Altri ( </w:t>
      </w:r>
      <w:r w:rsidR="00ED02CA">
        <w:rPr>
          <w:rFonts w:ascii="Times New Roman" w:hAnsi="Times New Roman"/>
          <w:i/>
        </w:rPr>
        <w:t>A. Alt, M. Not, J. Delorme,</w:t>
      </w:r>
      <w:r w:rsidR="00807CAB">
        <w:rPr>
          <w:rFonts w:ascii="Times New Roman" w:hAnsi="Times New Roman"/>
          <w:i/>
        </w:rPr>
        <w:t xml:space="preserve"> </w:t>
      </w:r>
      <w:r w:rsidR="00ED02CA">
        <w:rPr>
          <w:rFonts w:ascii="Times New Roman" w:hAnsi="Times New Roman"/>
          <w:i/>
        </w:rPr>
        <w:t>A. Gelin</w:t>
      </w:r>
      <w:r w:rsidR="00ED02CA">
        <w:rPr>
          <w:rFonts w:ascii="Times New Roman" w:hAnsi="Times New Roman"/>
          <w:szCs w:val="24"/>
        </w:rPr>
        <w:t xml:space="preserve">), appartenenti alla «scuola delle forme»  negano questa continuità letteraria e assegnano il libro alla corrente letteraria </w:t>
      </w:r>
      <w:r w:rsidR="00ED02CA">
        <w:rPr>
          <w:rFonts w:ascii="Times New Roman" w:hAnsi="Times New Roman"/>
          <w:b/>
          <w:szCs w:val="24"/>
        </w:rPr>
        <w:t xml:space="preserve">Deuteronomistica </w:t>
      </w:r>
      <w:r w:rsidR="00ED02CA">
        <w:rPr>
          <w:rFonts w:ascii="Times New Roman" w:hAnsi="Times New Roman"/>
          <w:szCs w:val="24"/>
        </w:rPr>
        <w:t xml:space="preserve">di cui abbiamo parlato sopra. Il libro ha usufruito di una documentazione orale e scritta più vasta i più ricca di quella del Pentateuco. Essa comprende </w:t>
      </w:r>
      <w:r w:rsidR="00ED02CA">
        <w:rPr>
          <w:rFonts w:ascii="Times New Roman" w:hAnsi="Times New Roman"/>
          <w:b/>
          <w:szCs w:val="24"/>
        </w:rPr>
        <w:t xml:space="preserve">racconti popolari </w:t>
      </w:r>
      <w:r w:rsidR="00ED02CA">
        <w:rPr>
          <w:rFonts w:ascii="Times New Roman" w:hAnsi="Times New Roman"/>
          <w:szCs w:val="24"/>
        </w:rPr>
        <w:t xml:space="preserve">conservati nelle varie tribù, </w:t>
      </w:r>
      <w:r w:rsidR="00ED02CA">
        <w:rPr>
          <w:rFonts w:ascii="Times New Roman" w:hAnsi="Times New Roman"/>
          <w:b/>
          <w:szCs w:val="24"/>
        </w:rPr>
        <w:t>narrazioni legate ai luoghi</w:t>
      </w:r>
      <w:r w:rsidR="00ED02CA">
        <w:rPr>
          <w:rFonts w:ascii="Times New Roman" w:hAnsi="Times New Roman"/>
          <w:szCs w:val="24"/>
        </w:rPr>
        <w:t xml:space="preserve"> di conquista (s</w:t>
      </w:r>
      <w:r w:rsidR="00ED02CA">
        <w:rPr>
          <w:rFonts w:ascii="Times New Roman" w:hAnsi="Times New Roman"/>
          <w:i/>
          <w:szCs w:val="24"/>
        </w:rPr>
        <w:t>aghe eziologiche</w:t>
      </w:r>
      <w:r w:rsidR="00ED02CA">
        <w:rPr>
          <w:rFonts w:ascii="Times New Roman" w:hAnsi="Times New Roman"/>
          <w:szCs w:val="24"/>
        </w:rPr>
        <w:t xml:space="preserve">), </w:t>
      </w:r>
      <w:r w:rsidR="00ED02CA">
        <w:rPr>
          <w:rFonts w:ascii="Times New Roman" w:hAnsi="Times New Roman"/>
          <w:b/>
          <w:szCs w:val="24"/>
        </w:rPr>
        <w:t>canti epici</w:t>
      </w:r>
      <w:r w:rsidR="00ED02CA">
        <w:rPr>
          <w:rFonts w:ascii="Times New Roman" w:hAnsi="Times New Roman"/>
          <w:szCs w:val="24"/>
        </w:rPr>
        <w:t xml:space="preserve">, </w:t>
      </w:r>
      <w:r w:rsidR="00ED02CA">
        <w:rPr>
          <w:rFonts w:ascii="Times New Roman" w:hAnsi="Times New Roman"/>
          <w:b/>
          <w:szCs w:val="24"/>
        </w:rPr>
        <w:t>descrizioni geografiche</w:t>
      </w:r>
      <w:r w:rsidR="00ED02CA">
        <w:rPr>
          <w:rFonts w:ascii="Times New Roman" w:hAnsi="Times New Roman"/>
          <w:szCs w:val="24"/>
        </w:rPr>
        <w:t xml:space="preserve"> che delimitano i confini delle tribù, </w:t>
      </w:r>
      <w:r w:rsidR="00ED02CA">
        <w:rPr>
          <w:rFonts w:ascii="Times New Roman" w:hAnsi="Times New Roman"/>
          <w:b/>
          <w:szCs w:val="24"/>
        </w:rPr>
        <w:t>elenchi di città</w:t>
      </w:r>
      <w:r w:rsidR="00ED02CA">
        <w:rPr>
          <w:rFonts w:ascii="Times New Roman" w:hAnsi="Times New Roman"/>
          <w:szCs w:val="24"/>
        </w:rPr>
        <w:t>, alcune conquistate in seguito.</w:t>
      </w:r>
    </w:p>
    <w:p w:rsidR="00ED02CA" w:rsidRDefault="00E33DB3" w:rsidP="007F37C6">
      <w:pPr>
        <w:jc w:val="both"/>
        <w:rPr>
          <w:rFonts w:ascii="Times New Roman" w:hAnsi="Times New Roman"/>
          <w:szCs w:val="24"/>
        </w:rPr>
      </w:pPr>
      <w:r>
        <w:rPr>
          <w:noProof/>
        </w:rPr>
        <w:drawing>
          <wp:anchor distT="0" distB="0" distL="114300" distR="114300" simplePos="0" relativeHeight="251592704" behindDoc="0" locked="0" layoutInCell="1" allowOverlap="1">
            <wp:simplePos x="0" y="0"/>
            <wp:positionH relativeFrom="margin">
              <wp:align>right</wp:align>
            </wp:positionH>
            <wp:positionV relativeFrom="margin">
              <wp:posOffset>532130</wp:posOffset>
            </wp:positionV>
            <wp:extent cx="1794510" cy="2120900"/>
            <wp:effectExtent l="19050" t="0" r="0" b="0"/>
            <wp:wrapSquare wrapText="bothSides"/>
            <wp:docPr id="104" name="Immagine 104" descr="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4" descr="47b"/>
                    <pic:cNvPicPr>
                      <a:picLocks noChangeAspect="1" noChangeArrowheads="1"/>
                    </pic:cNvPicPr>
                  </pic:nvPicPr>
                  <pic:blipFill>
                    <a:blip r:embed="rId10"/>
                    <a:srcRect/>
                    <a:stretch>
                      <a:fillRect/>
                    </a:stretch>
                  </pic:blipFill>
                  <pic:spPr bwMode="auto">
                    <a:xfrm>
                      <a:off x="0" y="0"/>
                      <a:ext cx="1794510" cy="2120900"/>
                    </a:xfrm>
                    <a:prstGeom prst="rect">
                      <a:avLst/>
                    </a:prstGeom>
                    <a:noFill/>
                  </pic:spPr>
                </pic:pic>
              </a:graphicData>
            </a:graphic>
          </wp:anchor>
        </w:drawing>
      </w:r>
    </w:p>
    <w:p w:rsidR="00ED02CA" w:rsidRDefault="00C4085C" w:rsidP="007F37C6">
      <w:pPr>
        <w:jc w:val="both"/>
        <w:rPr>
          <w:rFonts w:ascii="Times New Roman" w:hAnsi="Times New Roman"/>
          <w:szCs w:val="24"/>
        </w:rPr>
      </w:pPr>
      <w:r w:rsidRPr="00C4085C">
        <w:rPr>
          <w:noProof/>
        </w:rPr>
        <w:pict>
          <v:shape id="_x0000_s1129" type="#_x0000_t202" style="position:absolute;left:0;text-align:left;margin-left:.3pt;margin-top:193.25pt;width:181.65pt;height:12.3pt;z-index:251591680" stroked="f">
            <v:textbox inset="0,0,0,0">
              <w:txbxContent>
                <w:p w:rsidR="00AC06D4" w:rsidRDefault="00AC06D4" w:rsidP="00D82506">
                  <w:pPr>
                    <w:pStyle w:val="Didascalia"/>
                    <w:jc w:val="center"/>
                    <w:rPr>
                      <w:rFonts w:ascii="Times New Roman" w:hAnsi="Times New Roman"/>
                      <w:noProof/>
                      <w:sz w:val="24"/>
                      <w:szCs w:val="24"/>
                    </w:rPr>
                  </w:pPr>
                  <w:r>
                    <w:t>Il fiume Giordano</w:t>
                  </w:r>
                </w:p>
              </w:txbxContent>
            </v:textbox>
            <w10:wrap type="square"/>
          </v:shape>
        </w:pict>
      </w:r>
      <w:r w:rsidR="00ED02CA">
        <w:rPr>
          <w:rFonts w:ascii="Times New Roman" w:hAnsi="Times New Roman"/>
          <w:szCs w:val="24"/>
        </w:rPr>
        <w:t xml:space="preserve"> </w:t>
      </w:r>
      <w:r w:rsidR="00ED02CA">
        <w:rPr>
          <w:rFonts w:ascii="Times New Roman" w:hAnsi="Times New Roman"/>
          <w:szCs w:val="24"/>
        </w:rPr>
        <w:tab/>
        <w:t xml:space="preserve">Il libro prende il nome dal protagonista delle narrazioni: </w:t>
      </w:r>
      <w:r w:rsidR="00ED02CA">
        <w:rPr>
          <w:rFonts w:ascii="Times New Roman" w:hAnsi="Times New Roman"/>
          <w:b/>
          <w:szCs w:val="24"/>
        </w:rPr>
        <w:t>Giosuè</w:t>
      </w:r>
      <w:r w:rsidR="00ED02CA">
        <w:rPr>
          <w:rFonts w:ascii="Times New Roman" w:hAnsi="Times New Roman"/>
          <w:szCs w:val="24"/>
        </w:rPr>
        <w:t>, successore di Mosè. A Mosè, solidale con la generazione uscita dall’Egitto, non fu consentito entrare in Palestina; la potè vedere solo da lontano dalla cima del Pisga sul Monte Nebo in Transgiordania (Dt 34,1-8). Prima di morire, egli aveva passato, con grande dignità, il testimone a Giosuè (Dt 34,9), il quale ricevette a sua volta una solenne e chiara investitura divina per continuarne l’opera con queste parole: «</w:t>
      </w:r>
      <w:r w:rsidR="00ED02CA">
        <w:rPr>
          <w:rFonts w:ascii="Georgia" w:hAnsi="Georgia" w:cs="Georgia"/>
          <w:color w:val="000000"/>
          <w:szCs w:val="24"/>
        </w:rPr>
        <w:t xml:space="preserve"> </w:t>
      </w:r>
      <w:r w:rsidR="00ED02CA">
        <w:rPr>
          <w:rFonts w:ascii="Times New Roman" w:hAnsi="Times New Roman"/>
          <w:color w:val="000000"/>
        </w:rPr>
        <w:t xml:space="preserve">Il </w:t>
      </w:r>
      <w:r w:rsidR="00ED02CA">
        <w:rPr>
          <w:rFonts w:ascii="Times New Roman" w:hAnsi="Times New Roman"/>
          <w:i/>
          <w:color w:val="000000"/>
        </w:rPr>
        <w:t xml:space="preserve">Signore disse a Giosuè, figlio di Nun, aiutante di Mosè:  «Mosè, mio servo, è morto. Ora, dunque, </w:t>
      </w:r>
      <w:r w:rsidR="00ED02CA">
        <w:rPr>
          <w:rFonts w:ascii="Times New Roman" w:hAnsi="Times New Roman"/>
          <w:b/>
          <w:i/>
          <w:color w:val="000000"/>
        </w:rPr>
        <w:t>attraversa questo Giordano tu e tutto questo popolo, verso la terra che io do loro, agli Israeliti</w:t>
      </w:r>
      <w:r w:rsidR="00ED02CA">
        <w:rPr>
          <w:rFonts w:ascii="Times New Roman" w:hAnsi="Times New Roman"/>
          <w:i/>
          <w:color w:val="000000"/>
        </w:rPr>
        <w:t>.  Ogni luogo  su cui si poserà la pianta dei vostri piedi,</w:t>
      </w:r>
      <w:r w:rsidR="00ED02CA">
        <w:rPr>
          <w:rFonts w:ascii="Times New Roman" w:hAnsi="Times New Roman"/>
          <w:b/>
          <w:i/>
          <w:color w:val="000000"/>
        </w:rPr>
        <w:t xml:space="preserve"> ve l’ho assegnato</w:t>
      </w:r>
      <w:r w:rsidR="00ED02CA">
        <w:rPr>
          <w:rFonts w:ascii="Times New Roman" w:hAnsi="Times New Roman"/>
          <w:i/>
          <w:color w:val="000000"/>
        </w:rPr>
        <w:t xml:space="preserve">, come ho promesso a Mosè.  Dal deserto e da questo Libano fino al grande fiume, l’Eufrate, tutta la terra degli Ittiti, fino al Mare Grande, dove tramonta il sole: tali saranno i vostri confini. </w:t>
      </w:r>
      <w:r w:rsidR="00ED02CA">
        <w:rPr>
          <w:rFonts w:ascii="Times New Roman" w:hAnsi="Times New Roman"/>
          <w:b/>
          <w:i/>
          <w:color w:val="000000"/>
        </w:rPr>
        <w:t>Nessuno potrà resistere  a te</w:t>
      </w:r>
      <w:r w:rsidR="00ED02CA">
        <w:rPr>
          <w:rFonts w:ascii="Times New Roman" w:hAnsi="Times New Roman"/>
          <w:i/>
          <w:color w:val="000000"/>
        </w:rPr>
        <w:t xml:space="preserve"> per tutti i giorni della tua vita; come sono stato con Mosè, così </w:t>
      </w:r>
      <w:r w:rsidR="00ED02CA">
        <w:rPr>
          <w:rFonts w:ascii="Times New Roman" w:hAnsi="Times New Roman"/>
          <w:b/>
          <w:i/>
          <w:color w:val="000000"/>
        </w:rPr>
        <w:t>sarò con te : non ti lascerò né ti abbandonerò</w:t>
      </w:r>
      <w:r w:rsidR="00ED02CA">
        <w:rPr>
          <w:rFonts w:ascii="Times New Roman" w:hAnsi="Times New Roman"/>
          <w:color w:val="000000"/>
          <w:szCs w:val="24"/>
        </w:rPr>
        <w:t>»</w:t>
      </w:r>
      <w:r w:rsidR="00ED02CA">
        <w:rPr>
          <w:rFonts w:ascii="Verdana" w:hAnsi="Georgia" w:cs="Georgia"/>
          <w:color w:val="000000"/>
          <w:sz w:val="18"/>
          <w:szCs w:val="24"/>
        </w:rPr>
        <w:t>.</w:t>
      </w:r>
      <w:r w:rsidR="00ED02CA">
        <w:rPr>
          <w:rFonts w:ascii="Times New Roman" w:hAnsi="Times New Roman"/>
          <w:szCs w:val="24"/>
        </w:rPr>
        <w:t xml:space="preserve"> (Gs 1,1-5). Fu lui a introdurre le tribù d’Israele, reduci dai quarant’anni di deserto, nella terra promessa, attuando la promessa di Dio fatta ai patriarchi. </w:t>
      </w:r>
    </w:p>
    <w:p w:rsidR="00ED02CA" w:rsidRDefault="00ED02CA" w:rsidP="007F37C6">
      <w:pPr>
        <w:jc w:val="both"/>
        <w:rPr>
          <w:rFonts w:ascii="Times New Roman" w:hAnsi="Times New Roman"/>
          <w:szCs w:val="24"/>
        </w:rPr>
      </w:pPr>
    </w:p>
    <w:p w:rsidR="00807CAB" w:rsidRDefault="00C4085C" w:rsidP="00807CAB">
      <w:pPr>
        <w:ind w:firstLine="708"/>
        <w:jc w:val="both"/>
        <w:rPr>
          <w:rFonts w:ascii="Times New Roman" w:hAnsi="Times New Roman"/>
          <w:szCs w:val="24"/>
        </w:rPr>
      </w:pPr>
      <w:r w:rsidRPr="00C4085C">
        <w:rPr>
          <w:noProof/>
        </w:rPr>
        <w:pict>
          <v:shape id="_x0000_s1130" type="#_x0000_t202" style="position:absolute;left:0;text-align:left;margin-left:96.6pt;margin-top:240.05pt;width:194.8pt;height:15.5pt;z-index:251607040" stroked="f">
            <v:textbox inset="0,0,0,0">
              <w:txbxContent>
                <w:p w:rsidR="00AC06D4" w:rsidRPr="00D078C2" w:rsidRDefault="00AC06D4" w:rsidP="00D82506">
                  <w:pPr>
                    <w:pStyle w:val="Didascalia"/>
                    <w:jc w:val="center"/>
                    <w:rPr>
                      <w:noProof/>
                    </w:rPr>
                  </w:pPr>
                  <w:r>
                    <w:t>C. Rosselli: Mosè e Giosuè</w:t>
                  </w:r>
                </w:p>
              </w:txbxContent>
            </v:textbox>
            <w10:wrap type="square"/>
          </v:shape>
        </w:pict>
      </w:r>
      <w:r w:rsidR="00E33DB3">
        <w:rPr>
          <w:noProof/>
        </w:rPr>
        <w:drawing>
          <wp:anchor distT="0" distB="0" distL="114300" distR="114300" simplePos="0" relativeHeight="251594752" behindDoc="0" locked="0" layoutInCell="1" allowOverlap="1">
            <wp:simplePos x="0" y="0"/>
            <wp:positionH relativeFrom="margin">
              <wp:posOffset>3322320</wp:posOffset>
            </wp:positionH>
            <wp:positionV relativeFrom="margin">
              <wp:posOffset>6772910</wp:posOffset>
            </wp:positionV>
            <wp:extent cx="2804160" cy="1901825"/>
            <wp:effectExtent l="19050" t="0" r="0" b="0"/>
            <wp:wrapSquare wrapText="bothSides"/>
            <wp:docPr id="107" name="Immagine 106" descr="mose_018_cosimo_ross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 descr="mose_018_cosimo_rosselli"/>
                    <pic:cNvPicPr>
                      <a:picLocks noChangeAspect="1" noChangeArrowheads="1"/>
                    </pic:cNvPicPr>
                  </pic:nvPicPr>
                  <pic:blipFill>
                    <a:blip r:embed="rId11"/>
                    <a:srcRect/>
                    <a:stretch>
                      <a:fillRect/>
                    </a:stretch>
                  </pic:blipFill>
                  <pic:spPr bwMode="auto">
                    <a:xfrm>
                      <a:off x="0" y="0"/>
                      <a:ext cx="2804160" cy="1901825"/>
                    </a:xfrm>
                    <a:prstGeom prst="rect">
                      <a:avLst/>
                    </a:prstGeom>
                    <a:noFill/>
                  </pic:spPr>
                </pic:pic>
              </a:graphicData>
            </a:graphic>
          </wp:anchor>
        </w:drawing>
      </w:r>
      <w:r w:rsidR="00E33DB3">
        <w:rPr>
          <w:noProof/>
        </w:rPr>
        <w:drawing>
          <wp:anchor distT="0" distB="0" distL="114300" distR="114300" simplePos="0" relativeHeight="251590656" behindDoc="0" locked="0" layoutInCell="1" allowOverlap="1">
            <wp:simplePos x="0" y="0"/>
            <wp:positionH relativeFrom="margin">
              <wp:align>left</wp:align>
            </wp:positionH>
            <wp:positionV relativeFrom="margin">
              <wp:posOffset>3942715</wp:posOffset>
            </wp:positionV>
            <wp:extent cx="2306955" cy="1652905"/>
            <wp:effectExtent l="19050" t="0" r="0" b="0"/>
            <wp:wrapSquare wrapText="bothSides"/>
            <wp:docPr id="108" name="Immagine 102" descr="Il Giorda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2" descr="Il Giordano 2"/>
                    <pic:cNvPicPr>
                      <a:picLocks noChangeAspect="1" noChangeArrowheads="1"/>
                    </pic:cNvPicPr>
                  </pic:nvPicPr>
                  <pic:blipFill>
                    <a:blip r:embed="rId12"/>
                    <a:srcRect/>
                    <a:stretch>
                      <a:fillRect/>
                    </a:stretch>
                  </pic:blipFill>
                  <pic:spPr bwMode="auto">
                    <a:xfrm>
                      <a:off x="0" y="0"/>
                      <a:ext cx="2306955" cy="1652905"/>
                    </a:xfrm>
                    <a:prstGeom prst="rect">
                      <a:avLst/>
                    </a:prstGeom>
                    <a:noFill/>
                  </pic:spPr>
                </pic:pic>
              </a:graphicData>
            </a:graphic>
          </wp:anchor>
        </w:drawing>
      </w:r>
      <w:r w:rsidR="00ED02CA">
        <w:rPr>
          <w:rFonts w:ascii="Times New Roman" w:hAnsi="Times New Roman"/>
          <w:szCs w:val="24"/>
        </w:rPr>
        <w:t xml:space="preserve">Il libro è diviso nettamente in </w:t>
      </w:r>
      <w:r w:rsidR="00ED02CA">
        <w:rPr>
          <w:rFonts w:ascii="Times New Roman" w:hAnsi="Times New Roman"/>
          <w:b/>
          <w:szCs w:val="24"/>
        </w:rPr>
        <w:t>due parti</w:t>
      </w:r>
      <w:r w:rsidR="00ED02CA">
        <w:rPr>
          <w:rFonts w:ascii="Times New Roman" w:hAnsi="Times New Roman"/>
          <w:szCs w:val="24"/>
        </w:rPr>
        <w:t xml:space="preserve">: la </w:t>
      </w:r>
      <w:r w:rsidR="00ED02CA">
        <w:rPr>
          <w:rFonts w:ascii="Times New Roman" w:hAnsi="Times New Roman"/>
          <w:b/>
          <w:szCs w:val="24"/>
        </w:rPr>
        <w:t>conquista</w:t>
      </w:r>
      <w:r w:rsidR="00ED02CA">
        <w:rPr>
          <w:rFonts w:ascii="Times New Roman" w:hAnsi="Times New Roman"/>
          <w:szCs w:val="24"/>
        </w:rPr>
        <w:t xml:space="preserve"> della terra (1-12) e la sua </w:t>
      </w:r>
      <w:r w:rsidR="00ED02CA">
        <w:rPr>
          <w:rFonts w:ascii="Times New Roman" w:hAnsi="Times New Roman"/>
          <w:b/>
          <w:szCs w:val="24"/>
        </w:rPr>
        <w:t>ripartizione</w:t>
      </w:r>
      <w:r w:rsidR="00ED02CA">
        <w:rPr>
          <w:rFonts w:ascii="Times New Roman" w:hAnsi="Times New Roman"/>
          <w:szCs w:val="24"/>
        </w:rPr>
        <w:t xml:space="preserve"> tra le dodici tribù (13-24).  La conquista inizia con l’invio di </w:t>
      </w:r>
      <w:r w:rsidR="00ED02CA">
        <w:rPr>
          <w:rFonts w:ascii="Times New Roman" w:hAnsi="Times New Roman"/>
          <w:b/>
          <w:szCs w:val="24"/>
        </w:rPr>
        <w:t>due esploratori</w:t>
      </w:r>
      <w:r w:rsidR="00ED02CA">
        <w:rPr>
          <w:rFonts w:ascii="Times New Roman" w:hAnsi="Times New Roman"/>
          <w:szCs w:val="24"/>
        </w:rPr>
        <w:t xml:space="preserve"> ospitati a Gerico in casa di Raab. Il loro resoconto fu incoraggiante: «</w:t>
      </w:r>
      <w:r w:rsidR="00ED02CA">
        <w:rPr>
          <w:rFonts w:ascii="Times New Roman" w:hAnsi="Times New Roman"/>
          <w:i/>
          <w:szCs w:val="24"/>
        </w:rPr>
        <w:t>Il  Signore ha consegnato nelle nostre mani tutta la terra e davanti a  noi tremano già tutti gli abitanti  della regione</w:t>
      </w:r>
      <w:r w:rsidR="00ED02CA">
        <w:rPr>
          <w:rFonts w:ascii="Times New Roman" w:hAnsi="Times New Roman"/>
          <w:szCs w:val="24"/>
        </w:rPr>
        <w:t xml:space="preserve">» (2,24). L’atto solenne  dell’ingresso viene descritto come un atto di grande rilevanza religiosa con </w:t>
      </w:r>
      <w:r w:rsidR="00ED02CA">
        <w:rPr>
          <w:rFonts w:ascii="Times New Roman" w:hAnsi="Times New Roman"/>
          <w:b/>
          <w:szCs w:val="24"/>
        </w:rPr>
        <w:t>il passaggio del Giordano</w:t>
      </w:r>
      <w:r w:rsidR="00ED02CA">
        <w:rPr>
          <w:rFonts w:ascii="Times New Roman" w:hAnsi="Times New Roman"/>
          <w:szCs w:val="24"/>
        </w:rPr>
        <w:t xml:space="preserve"> a piedi asciutti come era avvenuto all’inizio dell’Esodo per il Mar Rosso. Dio marcia alla testa</w:t>
      </w:r>
      <w:r w:rsidR="00807CAB">
        <w:rPr>
          <w:rFonts w:ascii="Times New Roman" w:hAnsi="Times New Roman"/>
          <w:szCs w:val="24"/>
        </w:rPr>
        <w:t xml:space="preserve"> del suo popolo mediante l’arca dell’Alleanza sgabello dei suoi </w:t>
      </w:r>
      <w:r w:rsidR="00ED02CA">
        <w:rPr>
          <w:rFonts w:ascii="Times New Roman" w:hAnsi="Times New Roman"/>
          <w:szCs w:val="24"/>
        </w:rPr>
        <w:t xml:space="preserve">piedi. Si snoda solenne una grande processione: </w:t>
      </w:r>
    </w:p>
    <w:p w:rsidR="00ED02CA" w:rsidRPr="00807CAB" w:rsidRDefault="00ED02CA" w:rsidP="00807CAB">
      <w:pPr>
        <w:ind w:firstLine="708"/>
        <w:jc w:val="both"/>
        <w:rPr>
          <w:rFonts w:ascii="Times New Roman" w:hAnsi="Times New Roman"/>
          <w:sz w:val="8"/>
          <w:szCs w:val="24"/>
        </w:rPr>
      </w:pPr>
      <w:r>
        <w:rPr>
          <w:rFonts w:ascii="Times New Roman" w:hAnsi="Times New Roman"/>
          <w:szCs w:val="24"/>
        </w:rPr>
        <w:lastRenderedPageBreak/>
        <w:t>«</w:t>
      </w:r>
      <w:r>
        <w:rPr>
          <w:rFonts w:ascii="Times New Roman" w:hAnsi="Times New Roman"/>
          <w:i/>
        </w:rPr>
        <w:t>Quando il popolo levò le tende per attraversare il Giordano, i sacerdoti portavano l’arca dell’alleanza davanti al popolo. Appena i portatori dell’arca furono arrivati al Giordano e i piedi dei sacerdoti che portavano l’arca si immersero al limite delle acque - il Giordano infatti è colmo fino alle sponde durante tutto il tempo della mietitura -, le acque che scorrevano da monte  si fermarono e si levarono come un solo argine molto lungo a partire da Adam, la città che è dalla parte di Saltan. Le acque che scorrevano verso il mare dell’Araba, il Mar Morto, si staccarono completamente. Così il popolo attraversò di fronte a Gerico</w:t>
      </w:r>
      <w:r>
        <w:rPr>
          <w:rFonts w:ascii="Times New Roman" w:hAnsi="Times New Roman"/>
          <w:szCs w:val="24"/>
        </w:rPr>
        <w:t xml:space="preserve">» (3,14-16). </w:t>
      </w:r>
    </w:p>
    <w:p w:rsidR="00ED02CA" w:rsidRDefault="00ED02CA" w:rsidP="007F37C6">
      <w:pPr>
        <w:jc w:val="both"/>
        <w:rPr>
          <w:rFonts w:ascii="Times New Roman" w:hAnsi="Times New Roman"/>
          <w:szCs w:val="24"/>
        </w:rPr>
      </w:pPr>
    </w:p>
    <w:p w:rsidR="00ED02CA" w:rsidRDefault="00ED02CA" w:rsidP="007F37C6">
      <w:pPr>
        <w:ind w:firstLine="708"/>
        <w:jc w:val="both"/>
        <w:rPr>
          <w:rFonts w:ascii="Times New Roman" w:hAnsi="Times New Roman"/>
          <w:szCs w:val="24"/>
        </w:rPr>
      </w:pPr>
      <w:r>
        <w:rPr>
          <w:rFonts w:ascii="Times New Roman" w:hAnsi="Times New Roman"/>
          <w:szCs w:val="24"/>
        </w:rPr>
        <w:t xml:space="preserve">È evidente il </w:t>
      </w:r>
      <w:r>
        <w:rPr>
          <w:rFonts w:ascii="Times New Roman" w:hAnsi="Times New Roman"/>
          <w:b/>
          <w:szCs w:val="24"/>
        </w:rPr>
        <w:t>parallelismo</w:t>
      </w:r>
      <w:r>
        <w:rPr>
          <w:rFonts w:ascii="Times New Roman" w:hAnsi="Times New Roman"/>
          <w:szCs w:val="24"/>
        </w:rPr>
        <w:t xml:space="preserve"> che l’autore stabilisce </w:t>
      </w:r>
      <w:r>
        <w:rPr>
          <w:rFonts w:ascii="Times New Roman" w:hAnsi="Times New Roman"/>
          <w:b/>
          <w:szCs w:val="24"/>
        </w:rPr>
        <w:t>tra Mosè e Giosuè</w:t>
      </w:r>
      <w:r>
        <w:rPr>
          <w:rFonts w:ascii="Times New Roman" w:hAnsi="Times New Roman"/>
          <w:szCs w:val="24"/>
        </w:rPr>
        <w:t xml:space="preserve"> per affermare la continuità  della guida divina dall’Egitto a Canaan: Mosè guidò la </w:t>
      </w:r>
      <w:r>
        <w:rPr>
          <w:rFonts w:ascii="Times New Roman" w:hAnsi="Times New Roman"/>
          <w:b/>
          <w:szCs w:val="24"/>
        </w:rPr>
        <w:t>traversata del Mare</w:t>
      </w:r>
      <w:r>
        <w:rPr>
          <w:rFonts w:ascii="Times New Roman" w:hAnsi="Times New Roman"/>
          <w:szCs w:val="24"/>
        </w:rPr>
        <w:t xml:space="preserve"> dei giunchi, Giosuè la </w:t>
      </w:r>
      <w:r>
        <w:rPr>
          <w:rFonts w:ascii="Times New Roman" w:hAnsi="Times New Roman"/>
          <w:b/>
          <w:szCs w:val="24"/>
        </w:rPr>
        <w:t>traversata del Giordano</w:t>
      </w:r>
      <w:r>
        <w:rPr>
          <w:rFonts w:ascii="Times New Roman" w:hAnsi="Times New Roman"/>
          <w:szCs w:val="24"/>
        </w:rPr>
        <w:t xml:space="preserve">; le due traversate aprono e chiudono il cammino dell’Esodo. Mosè iniziò la sua missione  con la </w:t>
      </w:r>
      <w:r>
        <w:rPr>
          <w:rFonts w:ascii="Times New Roman" w:hAnsi="Times New Roman"/>
          <w:b/>
          <w:szCs w:val="24"/>
        </w:rPr>
        <w:t>visione del roveto</w:t>
      </w:r>
      <w:r>
        <w:rPr>
          <w:rFonts w:ascii="Times New Roman" w:hAnsi="Times New Roman"/>
          <w:szCs w:val="24"/>
        </w:rPr>
        <w:t xml:space="preserve"> ardente all’Oreb, Giosuè iniziò la conquista con la </w:t>
      </w:r>
      <w:r>
        <w:rPr>
          <w:rFonts w:ascii="Times New Roman" w:hAnsi="Times New Roman"/>
          <w:b/>
          <w:szCs w:val="24"/>
        </w:rPr>
        <w:t>visione dell’Angelo</w:t>
      </w:r>
      <w:r>
        <w:rPr>
          <w:rFonts w:ascii="Times New Roman" w:hAnsi="Times New Roman"/>
          <w:szCs w:val="24"/>
        </w:rPr>
        <w:t xml:space="preserve"> a Galgala (Gs 5,13-15).  Mosè fece celebrare </w:t>
      </w:r>
      <w:r>
        <w:rPr>
          <w:rFonts w:ascii="Times New Roman" w:hAnsi="Times New Roman"/>
          <w:b/>
          <w:szCs w:val="24"/>
        </w:rPr>
        <w:t>la Pasqua</w:t>
      </w:r>
      <w:r>
        <w:rPr>
          <w:rFonts w:ascii="Times New Roman" w:hAnsi="Times New Roman"/>
          <w:szCs w:val="24"/>
        </w:rPr>
        <w:t xml:space="preserve"> di liberazione al momento della partenza dall’Egitto, Giosuè fece celebrare </w:t>
      </w:r>
      <w:r>
        <w:rPr>
          <w:rFonts w:ascii="Times New Roman" w:hAnsi="Times New Roman"/>
          <w:b/>
          <w:szCs w:val="24"/>
        </w:rPr>
        <w:t>la prima Pasqua nella terra di Canaan</w:t>
      </w:r>
      <w:r>
        <w:rPr>
          <w:rFonts w:ascii="Times New Roman" w:hAnsi="Times New Roman"/>
          <w:szCs w:val="24"/>
        </w:rPr>
        <w:t xml:space="preserve"> entrando nella Terra Promessa. Il giorno dopo </w:t>
      </w:r>
      <w:r>
        <w:rPr>
          <w:rFonts w:ascii="Times New Roman" w:hAnsi="Times New Roman"/>
          <w:b/>
          <w:szCs w:val="24"/>
        </w:rPr>
        <w:t>cessò la Manna</w:t>
      </w:r>
      <w:r>
        <w:rPr>
          <w:rFonts w:ascii="Times New Roman" w:hAnsi="Times New Roman"/>
          <w:szCs w:val="24"/>
        </w:rPr>
        <w:t xml:space="preserve"> che aveva nutrito il popolo per quarant’anni (Gs 5,10-12). Mosè aveva celebrato </w:t>
      </w:r>
      <w:r>
        <w:rPr>
          <w:rFonts w:ascii="Times New Roman" w:hAnsi="Times New Roman"/>
          <w:b/>
          <w:szCs w:val="24"/>
        </w:rPr>
        <w:t>l’Alleanza con Dio ai piedi Monte Sinai</w:t>
      </w:r>
      <w:r>
        <w:rPr>
          <w:rFonts w:ascii="Times New Roman" w:hAnsi="Times New Roman"/>
          <w:szCs w:val="24"/>
        </w:rPr>
        <w:t xml:space="preserve">, Giosuè rinnovò </w:t>
      </w:r>
      <w:r>
        <w:rPr>
          <w:rFonts w:ascii="Times New Roman" w:hAnsi="Times New Roman"/>
          <w:b/>
          <w:szCs w:val="24"/>
        </w:rPr>
        <w:t>l’Alleanza a Sichem</w:t>
      </w:r>
      <w:r>
        <w:rPr>
          <w:rFonts w:ascii="Times New Roman" w:hAnsi="Times New Roman"/>
          <w:szCs w:val="24"/>
        </w:rPr>
        <w:t xml:space="preserve"> ai piedi del Monte Ebal (Gs 8,30-35 e 24,1-28), dove Abramo aveva innalzato il primo altare dopo il suo ingresso in Canaan (Gn 12,5-7). </w:t>
      </w:r>
    </w:p>
    <w:p w:rsidR="00ED02CA" w:rsidRDefault="00ED02CA" w:rsidP="007F37C6">
      <w:pPr>
        <w:jc w:val="both"/>
        <w:rPr>
          <w:rFonts w:ascii="Times New Roman" w:hAnsi="Times New Roman"/>
          <w:szCs w:val="24"/>
        </w:rPr>
      </w:pPr>
    </w:p>
    <w:p w:rsidR="006B069D" w:rsidRDefault="00C4085C" w:rsidP="006B069D">
      <w:pPr>
        <w:ind w:firstLine="708"/>
        <w:jc w:val="both"/>
        <w:rPr>
          <w:rFonts w:ascii="Times New Roman" w:hAnsi="Times New Roman"/>
          <w:szCs w:val="24"/>
        </w:rPr>
      </w:pPr>
      <w:r w:rsidRPr="00C4085C">
        <w:rPr>
          <w:noProof/>
        </w:rPr>
        <w:pict>
          <v:shape id="_x0000_s1133" type="#_x0000_t202" style="position:absolute;left:0;text-align:left;margin-left:336.7pt;margin-top:257.9pt;width:142.85pt;height:8.25pt;z-index:251596800" stroked="f">
            <v:textbox inset="0,0,0,0">
              <w:txbxContent>
                <w:p w:rsidR="00AC06D4" w:rsidRDefault="00AC06D4" w:rsidP="00D82506">
                  <w:pPr>
                    <w:pStyle w:val="Didascalia"/>
                    <w:jc w:val="center"/>
                    <w:rPr>
                      <w:rFonts w:ascii="Times New Roman" w:hAnsi="Times New Roman"/>
                      <w:noProof/>
                      <w:sz w:val="24"/>
                      <w:szCs w:val="24"/>
                    </w:rPr>
                  </w:pPr>
                  <w:r>
                    <w:t>Torre di Gerico 7000 a.C.</w:t>
                  </w:r>
                </w:p>
              </w:txbxContent>
            </v:textbox>
            <w10:wrap type="square"/>
          </v:shape>
        </w:pict>
      </w:r>
      <w:r w:rsidR="00E33DB3">
        <w:rPr>
          <w:noProof/>
        </w:rPr>
        <w:drawing>
          <wp:anchor distT="0" distB="0" distL="114300" distR="114300" simplePos="0" relativeHeight="251595776" behindDoc="0" locked="0" layoutInCell="1" allowOverlap="1">
            <wp:simplePos x="0" y="0"/>
            <wp:positionH relativeFrom="margin">
              <wp:posOffset>4328160</wp:posOffset>
            </wp:positionH>
            <wp:positionV relativeFrom="margin">
              <wp:posOffset>4624070</wp:posOffset>
            </wp:positionV>
            <wp:extent cx="1791970" cy="1981200"/>
            <wp:effectExtent l="19050" t="0" r="0" b="0"/>
            <wp:wrapSquare wrapText="bothSides"/>
            <wp:docPr id="111" name="Immagine 108" descr="Mura milennarie di Ge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8" descr="Mura milennarie di Gerico"/>
                    <pic:cNvPicPr>
                      <a:picLocks noChangeAspect="1" noChangeArrowheads="1"/>
                    </pic:cNvPicPr>
                  </pic:nvPicPr>
                  <pic:blipFill>
                    <a:blip r:embed="rId13"/>
                    <a:srcRect/>
                    <a:stretch>
                      <a:fillRect/>
                    </a:stretch>
                  </pic:blipFill>
                  <pic:spPr bwMode="auto">
                    <a:xfrm>
                      <a:off x="0" y="0"/>
                      <a:ext cx="1791970" cy="1981200"/>
                    </a:xfrm>
                    <a:prstGeom prst="rect">
                      <a:avLst/>
                    </a:prstGeom>
                    <a:noFill/>
                  </pic:spPr>
                </pic:pic>
              </a:graphicData>
            </a:graphic>
          </wp:anchor>
        </w:drawing>
      </w:r>
      <w:r w:rsidRPr="00C4085C">
        <w:rPr>
          <w:noProof/>
        </w:rPr>
        <w:pict>
          <v:shape id="_x0000_s1134" type="#_x0000_t202" style="position:absolute;left:0;text-align:left;margin-left:1.5pt;margin-top:153.45pt;width:149.35pt;height:14.35pt;z-index:251608064;mso-position-horizontal-relative:text;mso-position-vertical-relative:text" stroked="f">
            <v:textbox inset="0,0,0,0">
              <w:txbxContent>
                <w:p w:rsidR="00AC06D4" w:rsidRPr="00EA2E25" w:rsidRDefault="00AC06D4" w:rsidP="00D82506">
                  <w:pPr>
                    <w:pStyle w:val="Didascalia"/>
                    <w:jc w:val="center"/>
                  </w:pPr>
                  <w:r>
                    <w:t>Sinuosità del Giordano</w:t>
                  </w:r>
                </w:p>
              </w:txbxContent>
            </v:textbox>
            <w10:wrap type="square"/>
          </v:shape>
        </w:pict>
      </w:r>
      <w:r w:rsidR="00E33DB3">
        <w:rPr>
          <w:noProof/>
        </w:rPr>
        <w:drawing>
          <wp:anchor distT="0" distB="0" distL="114300" distR="114300" simplePos="0" relativeHeight="251597824" behindDoc="0" locked="0" layoutInCell="1" allowOverlap="1">
            <wp:simplePos x="0" y="0"/>
            <wp:positionH relativeFrom="margin">
              <wp:align>left</wp:align>
            </wp:positionH>
            <wp:positionV relativeFrom="margin">
              <wp:posOffset>2867025</wp:posOffset>
            </wp:positionV>
            <wp:extent cx="1896745" cy="2332990"/>
            <wp:effectExtent l="19050" t="0" r="8255" b="0"/>
            <wp:wrapSquare wrapText="bothSides"/>
            <wp:docPr id="112" name="Immagine 110" descr="giordanoc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0" descr="giordanocorso"/>
                    <pic:cNvPicPr>
                      <a:picLocks noChangeAspect="1" noChangeArrowheads="1"/>
                    </pic:cNvPicPr>
                  </pic:nvPicPr>
                  <pic:blipFill>
                    <a:blip r:embed="rId14"/>
                    <a:srcRect/>
                    <a:stretch>
                      <a:fillRect/>
                    </a:stretch>
                  </pic:blipFill>
                  <pic:spPr bwMode="auto">
                    <a:xfrm>
                      <a:off x="0" y="0"/>
                      <a:ext cx="1896745" cy="2332990"/>
                    </a:xfrm>
                    <a:prstGeom prst="rect">
                      <a:avLst/>
                    </a:prstGeom>
                    <a:noFill/>
                  </pic:spPr>
                </pic:pic>
              </a:graphicData>
            </a:graphic>
          </wp:anchor>
        </w:drawing>
      </w:r>
      <w:r w:rsidR="00ED02CA">
        <w:rPr>
          <w:rFonts w:ascii="Times New Roman" w:hAnsi="Times New Roman"/>
          <w:b/>
          <w:szCs w:val="24"/>
        </w:rPr>
        <w:t>Il carattere epico</w:t>
      </w:r>
      <w:r w:rsidR="00ED02CA">
        <w:rPr>
          <w:rFonts w:ascii="Times New Roman" w:hAnsi="Times New Roman"/>
          <w:szCs w:val="24"/>
        </w:rPr>
        <w:t xml:space="preserve"> della prima parte del libro si manifesta soprattutto nelle tre campagne militari: quella della conquista di </w:t>
      </w:r>
      <w:r w:rsidR="00ED02CA">
        <w:rPr>
          <w:rFonts w:ascii="Times New Roman" w:hAnsi="Times New Roman"/>
          <w:b/>
          <w:szCs w:val="24"/>
        </w:rPr>
        <w:t>Gerico</w:t>
      </w:r>
      <w:r w:rsidR="00ED02CA">
        <w:rPr>
          <w:rFonts w:ascii="Times New Roman" w:hAnsi="Times New Roman"/>
          <w:szCs w:val="24"/>
        </w:rPr>
        <w:t xml:space="preserve"> senza colpo ferire (c.6); la battaglia contro la coalizione dei </w:t>
      </w:r>
      <w:r w:rsidR="00ED02CA">
        <w:rPr>
          <w:rFonts w:ascii="Times New Roman" w:hAnsi="Times New Roman"/>
          <w:b/>
          <w:szCs w:val="24"/>
        </w:rPr>
        <w:t>cinque re del sud</w:t>
      </w:r>
      <w:r w:rsidR="00ED02CA">
        <w:rPr>
          <w:rFonts w:ascii="Times New Roman" w:hAnsi="Times New Roman"/>
          <w:szCs w:val="24"/>
        </w:rPr>
        <w:t xml:space="preserve"> (c.10);  la campagna contro </w:t>
      </w:r>
      <w:r w:rsidR="00ED02CA">
        <w:rPr>
          <w:rFonts w:ascii="Times New Roman" w:hAnsi="Times New Roman"/>
          <w:b/>
          <w:szCs w:val="24"/>
        </w:rPr>
        <w:t xml:space="preserve">il  re di Asor </w:t>
      </w:r>
      <w:r w:rsidR="00ED02CA">
        <w:rPr>
          <w:rFonts w:ascii="Times New Roman" w:hAnsi="Times New Roman"/>
          <w:szCs w:val="24"/>
        </w:rPr>
        <w:t xml:space="preserve">e i suoi alleati che controllavano il Nord di Canaan (c.11). Con queste tre incursioni militari rapide e tempestive Giosuè prese il controllo dell’intero territorio di Canaan. La conquista era tutt’altro che conclusa, ma ne erano posti i capisaldi per le future campagne tribali. Col tempo le gesta di questo genio militare  divennero </w:t>
      </w:r>
      <w:r w:rsidR="00ED02CA">
        <w:rPr>
          <w:rFonts w:ascii="Times New Roman" w:hAnsi="Times New Roman"/>
          <w:b/>
          <w:szCs w:val="24"/>
        </w:rPr>
        <w:t xml:space="preserve">leggendarie </w:t>
      </w:r>
      <w:r w:rsidR="00ED02CA">
        <w:rPr>
          <w:rFonts w:ascii="Times New Roman" w:hAnsi="Times New Roman"/>
          <w:szCs w:val="24"/>
        </w:rPr>
        <w:t xml:space="preserve">e fu accentuato </w:t>
      </w:r>
      <w:r w:rsidR="00ED02CA">
        <w:rPr>
          <w:rFonts w:ascii="Times New Roman" w:hAnsi="Times New Roman"/>
          <w:b/>
          <w:szCs w:val="24"/>
        </w:rPr>
        <w:t>l’intervent</w:t>
      </w:r>
      <w:r w:rsidR="00807CAB">
        <w:rPr>
          <w:rFonts w:ascii="Times New Roman" w:hAnsi="Times New Roman"/>
          <w:b/>
          <w:szCs w:val="24"/>
        </w:rPr>
        <w:t>o</w:t>
      </w:r>
      <w:r w:rsidR="00ED02CA">
        <w:rPr>
          <w:rFonts w:ascii="Times New Roman" w:hAnsi="Times New Roman"/>
          <w:b/>
          <w:szCs w:val="24"/>
        </w:rPr>
        <w:t xml:space="preserve"> diretto di Dio</w:t>
      </w:r>
      <w:r w:rsidR="00ED02CA">
        <w:rPr>
          <w:rFonts w:ascii="Times New Roman" w:hAnsi="Times New Roman"/>
          <w:szCs w:val="24"/>
        </w:rPr>
        <w:t xml:space="preserve"> a dimostrazione che la terra promessa non era frutto di conquista umana, ma dono gratuito di Dio (5,13-15). Un Salmo ammoniva: «</w:t>
      </w:r>
      <w:r w:rsidR="00ED02CA">
        <w:rPr>
          <w:rFonts w:ascii="Times New Roman" w:hAnsi="Times New Roman"/>
          <w:i/>
          <w:szCs w:val="24"/>
        </w:rPr>
        <w:t>Non con la spada conquistarono la terra, né fu il loro braccio a salvarli, ma la tua destra  e il tuo braccio e la luce del tuo volto, perché tu li</w:t>
      </w:r>
      <w:r w:rsidR="006B069D">
        <w:rPr>
          <w:rFonts w:ascii="Times New Roman" w:hAnsi="Times New Roman"/>
          <w:i/>
          <w:szCs w:val="24"/>
        </w:rPr>
        <w:t xml:space="preserve"> </w:t>
      </w:r>
      <w:r w:rsidR="00ED02CA">
        <w:rPr>
          <w:rFonts w:ascii="Times New Roman" w:hAnsi="Times New Roman"/>
          <w:i/>
          <w:szCs w:val="24"/>
        </w:rPr>
        <w:t>amavi</w:t>
      </w:r>
      <w:r w:rsidR="00ED02CA">
        <w:rPr>
          <w:rFonts w:ascii="Times New Roman" w:hAnsi="Times New Roman"/>
          <w:szCs w:val="24"/>
        </w:rPr>
        <w:t xml:space="preserve">» (Sl 44,4).  Così devono essere letti i </w:t>
      </w:r>
      <w:r w:rsidR="00ED02CA">
        <w:rPr>
          <w:rFonts w:ascii="Times New Roman" w:hAnsi="Times New Roman"/>
          <w:b/>
          <w:szCs w:val="24"/>
        </w:rPr>
        <w:t>due miracoli iniziali</w:t>
      </w:r>
      <w:r w:rsidR="00ED02CA">
        <w:rPr>
          <w:rFonts w:ascii="Times New Roman" w:hAnsi="Times New Roman"/>
          <w:szCs w:val="24"/>
        </w:rPr>
        <w:t xml:space="preserve">: il passaggio del fiume e il crollo delle mura di </w:t>
      </w:r>
    </w:p>
    <w:p w:rsidR="00ED02CA" w:rsidRPr="006B069D" w:rsidRDefault="00ED02CA" w:rsidP="00E06D2B">
      <w:pPr>
        <w:jc w:val="both"/>
        <w:rPr>
          <w:rFonts w:ascii="Times New Roman" w:hAnsi="Times New Roman"/>
          <w:i/>
          <w:szCs w:val="24"/>
        </w:rPr>
      </w:pPr>
      <w:r>
        <w:rPr>
          <w:rFonts w:ascii="Times New Roman" w:hAnsi="Times New Roman"/>
          <w:szCs w:val="24"/>
        </w:rPr>
        <w:t xml:space="preserve">Gerico, ambedue dovuti alla concomitanza di terremoti frequenti nella zona che Dio ha prodotto in quel preciso istante su parola di Giosuè. </w:t>
      </w:r>
      <w:r>
        <w:rPr>
          <w:rFonts w:ascii="Times New Roman" w:hAnsi="Times New Roman"/>
          <w:b/>
          <w:szCs w:val="24"/>
        </w:rPr>
        <w:t xml:space="preserve">Con il primo terremoto </w:t>
      </w:r>
      <w:r>
        <w:rPr>
          <w:rFonts w:ascii="Times New Roman" w:hAnsi="Times New Roman"/>
          <w:szCs w:val="24"/>
        </w:rPr>
        <w:t xml:space="preserve">Dio ha fatto franare una delle tante colline marnose che ostacolano quasi tutto il corso meridionale del Giordano e ne ha interrotto il flusso ad Adam alcuni chilometri più a monte (3,15-17). </w:t>
      </w:r>
      <w:r>
        <w:rPr>
          <w:rFonts w:ascii="Times New Roman" w:hAnsi="Times New Roman"/>
          <w:b/>
          <w:szCs w:val="24"/>
        </w:rPr>
        <w:t>Con il secondo terremoto</w:t>
      </w:r>
      <w:r>
        <w:rPr>
          <w:rFonts w:ascii="Times New Roman" w:hAnsi="Times New Roman"/>
          <w:szCs w:val="24"/>
        </w:rPr>
        <w:t xml:space="preserve"> Dio fece crollare le mura della città di Gerico che non erano più quelle possenti e famose dei secoli passati, ma ricostruite in maniera molto più modesta (6,1-5).</w:t>
      </w:r>
    </w:p>
    <w:p w:rsidR="00ED02CA" w:rsidRDefault="00ED02CA" w:rsidP="007F37C6">
      <w:pPr>
        <w:jc w:val="both"/>
        <w:rPr>
          <w:rFonts w:ascii="Times New Roman" w:hAnsi="Times New Roman"/>
          <w:szCs w:val="24"/>
        </w:rPr>
      </w:pPr>
    </w:p>
    <w:p w:rsidR="00ED02CA" w:rsidRDefault="00ED02CA" w:rsidP="00807CAB">
      <w:pPr>
        <w:ind w:firstLine="708"/>
        <w:jc w:val="both"/>
        <w:rPr>
          <w:rFonts w:ascii="Times New Roman" w:hAnsi="Times New Roman"/>
          <w:szCs w:val="24"/>
        </w:rPr>
      </w:pPr>
      <w:r>
        <w:rPr>
          <w:rFonts w:ascii="Times New Roman" w:hAnsi="Times New Roman"/>
          <w:szCs w:val="24"/>
        </w:rPr>
        <w:t xml:space="preserve">I lettori del passato catalogavano </w:t>
      </w:r>
      <w:r>
        <w:rPr>
          <w:rFonts w:ascii="Times New Roman" w:hAnsi="Times New Roman"/>
          <w:b/>
          <w:szCs w:val="24"/>
        </w:rPr>
        <w:t>un terzo miracolo,</w:t>
      </w:r>
      <w:r>
        <w:rPr>
          <w:rFonts w:ascii="Times New Roman" w:hAnsi="Times New Roman"/>
          <w:szCs w:val="24"/>
        </w:rPr>
        <w:t xml:space="preserve"> quello</w:t>
      </w:r>
      <w:r>
        <w:rPr>
          <w:rFonts w:ascii="Times New Roman" w:hAnsi="Times New Roman"/>
          <w:b/>
          <w:szCs w:val="24"/>
        </w:rPr>
        <w:t xml:space="preserve"> di Giosuè che ferma il sole.</w:t>
      </w:r>
      <w:r>
        <w:rPr>
          <w:rFonts w:ascii="Times New Roman" w:hAnsi="Times New Roman"/>
          <w:szCs w:val="24"/>
        </w:rPr>
        <w:t xml:space="preserve"> La critica letteraria  ha oggi risolto l’equivoco che aveva suscitato tante polemiche contro Galileo (1564-1642). L’analisi letteraria rivela che non si tratta di un racconto ma di un can</w:t>
      </w:r>
      <w:r w:rsidR="00807CAB">
        <w:rPr>
          <w:rFonts w:ascii="Times New Roman" w:hAnsi="Times New Roman"/>
          <w:szCs w:val="24"/>
        </w:rPr>
        <w:t xml:space="preserve">to epico citato da un </w:t>
      </w:r>
      <w:r>
        <w:rPr>
          <w:rFonts w:ascii="Times New Roman" w:hAnsi="Times New Roman"/>
          <w:szCs w:val="24"/>
        </w:rPr>
        <w:t>libro poetico intitolato «Il libro del giusto». Né i cardinali dell’inquisizione, né Galileo avevano afferrato il significato poetico del brano che si presenta così: «</w:t>
      </w:r>
      <w:r>
        <w:rPr>
          <w:rFonts w:ascii="Times New Roman" w:hAnsi="Times New Roman"/>
          <w:i/>
        </w:rPr>
        <w:t xml:space="preserve">Quando il Signore consegnò </w:t>
      </w:r>
      <w:r>
        <w:rPr>
          <w:rFonts w:ascii="Times New Roman" w:hAnsi="Times New Roman"/>
          <w:i/>
        </w:rPr>
        <w:lastRenderedPageBreak/>
        <w:t>gli Amorrei in mano agli Israeliti, Giosuè parlò al Signore e disse alla presen</w:t>
      </w:r>
      <w:r w:rsidR="00807CAB">
        <w:rPr>
          <w:rFonts w:ascii="Times New Roman" w:hAnsi="Times New Roman"/>
          <w:i/>
        </w:rPr>
        <w:t>-</w:t>
      </w:r>
      <w:r>
        <w:rPr>
          <w:rFonts w:ascii="Times New Roman" w:hAnsi="Times New Roman"/>
          <w:i/>
        </w:rPr>
        <w:t>za d’Israele: Fermati, o sole, su Gabaon,\ o luna, sulla valle di Aialon.\ Si fermò il sole \ e la luna rimase immobile \ finché il popolo non si vendicò dei nemic</w:t>
      </w:r>
      <w:r>
        <w:rPr>
          <w:rFonts w:ascii="Times New Roman" w:hAnsi="Times New Roman"/>
        </w:rPr>
        <w:t>i.</w:t>
      </w:r>
      <w:r>
        <w:rPr>
          <w:rFonts w:ascii="Times New Roman" w:hAnsi="Times New Roman"/>
          <w:i/>
        </w:rPr>
        <w:t xml:space="preserve"> Non è forse </w:t>
      </w:r>
      <w:r>
        <w:rPr>
          <w:rFonts w:ascii="Times New Roman" w:hAnsi="Times New Roman"/>
          <w:b/>
          <w:i/>
        </w:rPr>
        <w:t>scritto nel Libro del Giusto</w:t>
      </w:r>
      <w:r>
        <w:rPr>
          <w:rFonts w:ascii="Times New Roman" w:hAnsi="Times New Roman"/>
          <w:i/>
        </w:rPr>
        <w:t>?</w:t>
      </w:r>
      <w:r>
        <w:rPr>
          <w:rFonts w:ascii="Times New Roman" w:hAnsi="Times New Roman"/>
        </w:rPr>
        <w:t xml:space="preserve"> </w:t>
      </w:r>
      <w:r>
        <w:rPr>
          <w:rFonts w:ascii="Times New Roman" w:hAnsi="Times New Roman"/>
          <w:i/>
        </w:rPr>
        <w:t>Stette fermo il sole nel mezzo del cielo, non corse al tramonto un giorno intero.</w:t>
      </w:r>
      <w:r>
        <w:rPr>
          <w:rFonts w:ascii="Times New Roman" w:hAnsi="Times New Roman"/>
          <w:b/>
          <w:i/>
        </w:rPr>
        <w:t xml:space="preserve"> Né prima né poi vi fu un giorno come quello</w:t>
      </w:r>
      <w:r>
        <w:rPr>
          <w:rFonts w:ascii="Times New Roman" w:hAnsi="Times New Roman"/>
          <w:i/>
        </w:rPr>
        <w:t>, in cui il Signore ascoltò la voce di un uomo, perché il Signore combatteva con Israele</w:t>
      </w:r>
      <w:r>
        <w:rPr>
          <w:rFonts w:ascii="Times New Roman" w:hAnsi="Times New Roman"/>
        </w:rPr>
        <w:t xml:space="preserve">» (10,12-14). </w:t>
      </w:r>
      <w:r>
        <w:rPr>
          <w:rFonts w:ascii="Times New Roman" w:hAnsi="Times New Roman"/>
          <w:szCs w:val="24"/>
        </w:rPr>
        <w:t>Il «Libro del Giusto» è citato anche in 2 Sam 1,18, per dire che conteneva anche «il canto dell’arco», il canto funebre di David per la morte di Saul e di Gionata. Il linguaggio poetico qui utilizzato ci avverte che il fermarsi del sole e della luna è immagine fantasiosa, che esprime poeticam</w:t>
      </w:r>
      <w:r w:rsidR="00807CAB">
        <w:rPr>
          <w:rFonts w:ascii="Times New Roman" w:hAnsi="Times New Roman"/>
          <w:szCs w:val="24"/>
        </w:rPr>
        <w:t>ente la meraviglia,</w:t>
      </w:r>
      <w:r w:rsidR="00807CAB">
        <w:rPr>
          <w:rFonts w:ascii="Times New Roman" w:hAnsi="Times New Roman"/>
          <w:szCs w:val="24"/>
        </w:rPr>
        <w:tab/>
      </w:r>
      <w:r>
        <w:rPr>
          <w:rFonts w:ascii="Times New Roman" w:hAnsi="Times New Roman"/>
          <w:szCs w:val="24"/>
        </w:rPr>
        <w:t>la sorpresa, l’entu</w:t>
      </w:r>
      <w:r w:rsidR="00807CAB">
        <w:rPr>
          <w:rFonts w:ascii="Times New Roman" w:hAnsi="Times New Roman"/>
          <w:szCs w:val="24"/>
        </w:rPr>
        <w:t xml:space="preserve">siasmo </w:t>
      </w:r>
      <w:r>
        <w:rPr>
          <w:rFonts w:ascii="Times New Roman" w:hAnsi="Times New Roman"/>
          <w:szCs w:val="24"/>
        </w:rPr>
        <w:t>per la strep</w:t>
      </w:r>
      <w:r w:rsidR="00807CAB">
        <w:rPr>
          <w:rFonts w:ascii="Times New Roman" w:hAnsi="Times New Roman"/>
          <w:szCs w:val="24"/>
        </w:rPr>
        <w:t>i-</w:t>
      </w:r>
      <w:r>
        <w:rPr>
          <w:rFonts w:ascii="Times New Roman" w:hAnsi="Times New Roman"/>
          <w:szCs w:val="24"/>
        </w:rPr>
        <w:t xml:space="preserve">tosa vittoria riportata da Giosuè: perfino il sole e la luna - dice il poeta - si fermarono ad ammirare lo spettacolo! </w:t>
      </w:r>
    </w:p>
    <w:p w:rsidR="00ED02CA" w:rsidRDefault="00ED02CA" w:rsidP="007F37C6">
      <w:pPr>
        <w:jc w:val="both"/>
        <w:rPr>
          <w:rFonts w:ascii="Times New Roman" w:hAnsi="Times New Roman"/>
          <w:szCs w:val="24"/>
        </w:rPr>
      </w:pPr>
    </w:p>
    <w:p w:rsidR="00ED02CA" w:rsidRPr="00907205" w:rsidRDefault="00ED02CA" w:rsidP="007F37C6">
      <w:pPr>
        <w:ind w:firstLine="708"/>
        <w:jc w:val="both"/>
        <w:rPr>
          <w:rFonts w:ascii="Times New Roman" w:hAnsi="Times New Roman"/>
          <w:szCs w:val="24"/>
        </w:rPr>
      </w:pPr>
      <w:r>
        <w:rPr>
          <w:rFonts w:ascii="Times New Roman" w:hAnsi="Times New Roman"/>
          <w:b/>
          <w:szCs w:val="24"/>
        </w:rPr>
        <w:t>La seconda parte del libro (cc. 13-21)</w:t>
      </w:r>
      <w:r>
        <w:rPr>
          <w:rFonts w:ascii="Times New Roman" w:hAnsi="Times New Roman"/>
          <w:szCs w:val="24"/>
        </w:rPr>
        <w:t xml:space="preserve"> descrive la spartizione della terra occupata, ma parzialmente conquistata, tra le dodici tribù d’Israele (13,1-6). Già era avvenuta l’assegnazione delle terre sottratte ai regni aldilà del Giordano conquistati da Mosè: alle tribù di </w:t>
      </w:r>
      <w:r>
        <w:rPr>
          <w:rFonts w:ascii="Times New Roman" w:hAnsi="Times New Roman"/>
          <w:b/>
          <w:szCs w:val="24"/>
        </w:rPr>
        <w:t>Ruben</w:t>
      </w:r>
      <w:r>
        <w:rPr>
          <w:rFonts w:ascii="Times New Roman" w:hAnsi="Times New Roman"/>
          <w:szCs w:val="24"/>
        </w:rPr>
        <w:t xml:space="preserve">, di </w:t>
      </w:r>
      <w:r>
        <w:rPr>
          <w:rFonts w:ascii="Times New Roman" w:hAnsi="Times New Roman"/>
          <w:b/>
          <w:szCs w:val="24"/>
        </w:rPr>
        <w:t>Gad</w:t>
      </w:r>
      <w:r>
        <w:rPr>
          <w:rFonts w:ascii="Times New Roman" w:hAnsi="Times New Roman"/>
          <w:szCs w:val="24"/>
        </w:rPr>
        <w:t xml:space="preserve"> e a metà della più numerosa tribù di </w:t>
      </w:r>
      <w:r>
        <w:rPr>
          <w:rFonts w:ascii="Times New Roman" w:hAnsi="Times New Roman"/>
          <w:b/>
          <w:szCs w:val="24"/>
        </w:rPr>
        <w:t>Manasse</w:t>
      </w:r>
      <w:r>
        <w:rPr>
          <w:rFonts w:ascii="Times New Roman" w:hAnsi="Times New Roman"/>
          <w:szCs w:val="24"/>
        </w:rPr>
        <w:t xml:space="preserve"> furono date le terre degli Amorrei, dei Moabiti e di Basan </w:t>
      </w:r>
      <w:r w:rsidR="00E33DB3">
        <w:rPr>
          <w:noProof/>
        </w:rPr>
        <w:drawing>
          <wp:anchor distT="0" distB="0" distL="114300" distR="114300" simplePos="0" relativeHeight="251598848" behindDoc="0" locked="0" layoutInCell="1" allowOverlap="1">
            <wp:simplePos x="0" y="0"/>
            <wp:positionH relativeFrom="margin">
              <wp:posOffset>-123190</wp:posOffset>
            </wp:positionH>
            <wp:positionV relativeFrom="margin">
              <wp:posOffset>21590</wp:posOffset>
            </wp:positionV>
            <wp:extent cx="4420870" cy="5925185"/>
            <wp:effectExtent l="19050" t="0" r="0" b="0"/>
            <wp:wrapSquare wrapText="bothSides"/>
            <wp:docPr id="113" name="Immagine 112" descr="CARTINA%20TERRA%20PROM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2" descr="CARTINA%20TERRA%20PROMESSA"/>
                    <pic:cNvPicPr>
                      <a:picLocks noChangeAspect="1" noChangeArrowheads="1"/>
                    </pic:cNvPicPr>
                  </pic:nvPicPr>
                  <pic:blipFill>
                    <a:blip r:embed="rId15"/>
                    <a:srcRect/>
                    <a:stretch>
                      <a:fillRect/>
                    </a:stretch>
                  </pic:blipFill>
                  <pic:spPr bwMode="auto">
                    <a:xfrm>
                      <a:off x="0" y="0"/>
                      <a:ext cx="4420870" cy="5925185"/>
                    </a:xfrm>
                    <a:prstGeom prst="rect">
                      <a:avLst/>
                    </a:prstGeom>
                    <a:noFill/>
                  </pic:spPr>
                </pic:pic>
              </a:graphicData>
            </a:graphic>
          </wp:anchor>
        </w:drawing>
      </w:r>
      <w:r>
        <w:rPr>
          <w:rFonts w:ascii="Times New Roman" w:hAnsi="Times New Roman"/>
          <w:szCs w:val="24"/>
        </w:rPr>
        <w:t xml:space="preserve">(Num 32,33-42). Le altre tribù furono distribuite su tutto il territorio di Canaan a cominciare dal Sud: La tribù di </w:t>
      </w:r>
      <w:r>
        <w:rPr>
          <w:rFonts w:ascii="Times New Roman" w:hAnsi="Times New Roman"/>
          <w:b/>
          <w:szCs w:val="24"/>
        </w:rPr>
        <w:t>Giuda</w:t>
      </w:r>
      <w:r>
        <w:rPr>
          <w:rFonts w:ascii="Times New Roman" w:hAnsi="Times New Roman"/>
          <w:szCs w:val="24"/>
        </w:rPr>
        <w:t xml:space="preserve"> assorbì anche il Clan di Kaleb e la tribù di </w:t>
      </w:r>
      <w:r>
        <w:rPr>
          <w:rFonts w:ascii="Times New Roman" w:hAnsi="Times New Roman"/>
          <w:b/>
          <w:szCs w:val="24"/>
        </w:rPr>
        <w:t>Simeone</w:t>
      </w:r>
      <w:r>
        <w:rPr>
          <w:rFonts w:ascii="Times New Roman" w:hAnsi="Times New Roman"/>
          <w:szCs w:val="24"/>
        </w:rPr>
        <w:t xml:space="preserve"> e furono collocati a Sud di Gerusalemme; subito a Nord fu collocata la tribù di</w:t>
      </w:r>
      <w:r>
        <w:rPr>
          <w:rFonts w:ascii="Times New Roman" w:hAnsi="Times New Roman"/>
          <w:b/>
          <w:szCs w:val="24"/>
        </w:rPr>
        <w:t xml:space="preserve"> Beniamino</w:t>
      </w:r>
      <w:r>
        <w:rPr>
          <w:rFonts w:ascii="Times New Roman" w:hAnsi="Times New Roman"/>
          <w:szCs w:val="24"/>
        </w:rPr>
        <w:t xml:space="preserve">;  la tribù di </w:t>
      </w:r>
      <w:r>
        <w:rPr>
          <w:rFonts w:ascii="Times New Roman" w:hAnsi="Times New Roman"/>
          <w:b/>
          <w:szCs w:val="24"/>
        </w:rPr>
        <w:t>Efraim,</w:t>
      </w:r>
      <w:r>
        <w:rPr>
          <w:rFonts w:ascii="Times New Roman" w:hAnsi="Times New Roman"/>
          <w:szCs w:val="24"/>
        </w:rPr>
        <w:t xml:space="preserve"> e l’altra metà della tribù di </w:t>
      </w:r>
      <w:r>
        <w:rPr>
          <w:rFonts w:ascii="Times New Roman" w:hAnsi="Times New Roman"/>
          <w:b/>
          <w:szCs w:val="24"/>
        </w:rPr>
        <w:t xml:space="preserve">Manasse </w:t>
      </w:r>
      <w:r>
        <w:rPr>
          <w:rFonts w:ascii="Times New Roman" w:hAnsi="Times New Roman"/>
          <w:szCs w:val="24"/>
        </w:rPr>
        <w:t xml:space="preserve">trovarono posto in Samaria; più ad oriente, intorno all’odierna Tel.Aviv fu posta la tribù di </w:t>
      </w:r>
      <w:r>
        <w:rPr>
          <w:rFonts w:ascii="Times New Roman" w:hAnsi="Times New Roman"/>
          <w:b/>
          <w:szCs w:val="24"/>
        </w:rPr>
        <w:t>Dan</w:t>
      </w:r>
      <w:r>
        <w:rPr>
          <w:rFonts w:ascii="Times New Roman" w:hAnsi="Times New Roman"/>
          <w:szCs w:val="24"/>
        </w:rPr>
        <w:t xml:space="preserve">, che più tardi si spostò nei presi delle sorgenti del Giordano, ai piedi dell’Ermon: nella pianura di Esdrelon si collocarono le tribù di </w:t>
      </w:r>
      <w:r>
        <w:rPr>
          <w:rFonts w:ascii="Times New Roman" w:hAnsi="Times New Roman"/>
          <w:b/>
          <w:szCs w:val="24"/>
        </w:rPr>
        <w:t>Issacar</w:t>
      </w:r>
      <w:r>
        <w:rPr>
          <w:rFonts w:ascii="Times New Roman" w:hAnsi="Times New Roman"/>
          <w:szCs w:val="24"/>
        </w:rPr>
        <w:t xml:space="preserve"> a est, e </w:t>
      </w:r>
      <w:r>
        <w:rPr>
          <w:rFonts w:ascii="Times New Roman" w:hAnsi="Times New Roman"/>
          <w:b/>
          <w:szCs w:val="24"/>
        </w:rPr>
        <w:t>Zabulon</w:t>
      </w:r>
      <w:r>
        <w:rPr>
          <w:rFonts w:ascii="Times New Roman" w:hAnsi="Times New Roman"/>
          <w:szCs w:val="24"/>
        </w:rPr>
        <w:t xml:space="preserve"> a ovest; sulla riva del Lago di Genezaret trovò posto la tribù di </w:t>
      </w:r>
      <w:r>
        <w:rPr>
          <w:rFonts w:ascii="Times New Roman" w:hAnsi="Times New Roman"/>
          <w:b/>
          <w:szCs w:val="24"/>
        </w:rPr>
        <w:t>Neftali</w:t>
      </w:r>
      <w:r>
        <w:rPr>
          <w:rFonts w:ascii="Times New Roman" w:hAnsi="Times New Roman"/>
          <w:szCs w:val="24"/>
        </w:rPr>
        <w:t xml:space="preserve">; Alla stessa altezza, lungo la riva del Mediterraneo si accampò la tribù di </w:t>
      </w:r>
      <w:r>
        <w:rPr>
          <w:rFonts w:ascii="Times New Roman" w:hAnsi="Times New Roman"/>
          <w:b/>
          <w:szCs w:val="24"/>
        </w:rPr>
        <w:t>Ascer</w:t>
      </w:r>
      <w:r>
        <w:rPr>
          <w:rFonts w:ascii="Times New Roman" w:hAnsi="Times New Roman"/>
          <w:szCs w:val="24"/>
        </w:rPr>
        <w:t xml:space="preserve">. In tutto le tribù sistemate nei territori occupati </w:t>
      </w:r>
      <w:r>
        <w:rPr>
          <w:rFonts w:ascii="Times New Roman" w:hAnsi="Times New Roman"/>
          <w:b/>
          <w:szCs w:val="24"/>
        </w:rPr>
        <w:t>furono 13</w:t>
      </w:r>
      <w:r>
        <w:rPr>
          <w:rFonts w:ascii="Times New Roman" w:hAnsi="Times New Roman"/>
          <w:szCs w:val="24"/>
        </w:rPr>
        <w:t xml:space="preserve"> perché la tribù di </w:t>
      </w:r>
      <w:r>
        <w:rPr>
          <w:rFonts w:ascii="Times New Roman" w:hAnsi="Times New Roman"/>
          <w:b/>
          <w:szCs w:val="24"/>
        </w:rPr>
        <w:t>Giuseppe</w:t>
      </w:r>
      <w:r>
        <w:rPr>
          <w:rFonts w:ascii="Times New Roman" w:hAnsi="Times New Roman"/>
          <w:szCs w:val="24"/>
        </w:rPr>
        <w:t xml:space="preserve"> si divise già in Egitto in due tronconi costituiti dai suoi figli Efraim e Manasse adottati da Giacobbe (Gn 48,5s). Giosuè provvide anche a stabilire alcune </w:t>
      </w:r>
      <w:r>
        <w:rPr>
          <w:rFonts w:ascii="Times New Roman" w:hAnsi="Times New Roman"/>
          <w:b/>
          <w:szCs w:val="24"/>
        </w:rPr>
        <w:t xml:space="preserve">città </w:t>
      </w:r>
      <w:r>
        <w:rPr>
          <w:rFonts w:ascii="Times New Roman" w:hAnsi="Times New Roman"/>
          <w:b/>
          <w:szCs w:val="24"/>
        </w:rPr>
        <w:lastRenderedPageBreak/>
        <w:t>rifugio</w:t>
      </w:r>
      <w:r>
        <w:rPr>
          <w:rFonts w:ascii="Times New Roman" w:hAnsi="Times New Roman"/>
          <w:szCs w:val="24"/>
        </w:rPr>
        <w:t xml:space="preserve"> per dare asilo politico a chi avesse commesso omicidio colposo (20,1-9).  Fin da allora furono assegnate ai membri della </w:t>
      </w:r>
      <w:r>
        <w:rPr>
          <w:rFonts w:ascii="Times New Roman" w:hAnsi="Times New Roman"/>
          <w:b/>
          <w:szCs w:val="24"/>
        </w:rPr>
        <w:t>tribù di Levi</w:t>
      </w:r>
      <w:r>
        <w:rPr>
          <w:rFonts w:ascii="Times New Roman" w:hAnsi="Times New Roman"/>
          <w:szCs w:val="24"/>
        </w:rPr>
        <w:t xml:space="preserve">, che non ebbe un territorio specifico tutto per sé, alcune città levitiche distribuite su tutto il territorio, perché fossero come centri parrocchiali per le singole tribù (Gs 21,1-8). </w:t>
      </w:r>
    </w:p>
    <w:p w:rsidR="00ED02CA" w:rsidRDefault="00ED02CA" w:rsidP="007F37C6">
      <w:pPr>
        <w:jc w:val="both"/>
        <w:rPr>
          <w:rFonts w:ascii="Times New Roman" w:hAnsi="Times New Roman"/>
          <w:b/>
          <w:szCs w:val="24"/>
        </w:rPr>
      </w:pPr>
    </w:p>
    <w:p w:rsidR="00ED02CA" w:rsidRDefault="00ED02CA" w:rsidP="007F37C6">
      <w:pPr>
        <w:jc w:val="both"/>
        <w:rPr>
          <w:rFonts w:ascii="Times New Roman" w:hAnsi="Times New Roman"/>
          <w:b/>
          <w:szCs w:val="24"/>
        </w:rPr>
      </w:pPr>
    </w:p>
    <w:p w:rsidR="00ED02CA" w:rsidRDefault="00ED02CA" w:rsidP="007F37C6">
      <w:pPr>
        <w:ind w:firstLine="708"/>
        <w:jc w:val="both"/>
        <w:rPr>
          <w:rFonts w:ascii="Times New Roman" w:hAnsi="Times New Roman"/>
          <w:b/>
          <w:szCs w:val="24"/>
        </w:rPr>
      </w:pPr>
      <w:r>
        <w:rPr>
          <w:rFonts w:ascii="Times New Roman" w:hAnsi="Times New Roman"/>
          <w:b/>
          <w:szCs w:val="24"/>
        </w:rPr>
        <w:t>Il Libro dei Giudici</w:t>
      </w:r>
    </w:p>
    <w:p w:rsidR="00ED02CA" w:rsidRDefault="00ED02CA" w:rsidP="007F37C6">
      <w:pPr>
        <w:jc w:val="both"/>
        <w:rPr>
          <w:rFonts w:ascii="Times New Roman" w:hAnsi="Times New Roman"/>
          <w:szCs w:val="24"/>
        </w:rPr>
      </w:pPr>
    </w:p>
    <w:p w:rsidR="00ED02CA" w:rsidRPr="001526D9" w:rsidRDefault="00E33DB3" w:rsidP="007F37C6">
      <w:pPr>
        <w:ind w:firstLine="708"/>
        <w:jc w:val="both"/>
        <w:rPr>
          <w:rFonts w:ascii="Times New Roman" w:hAnsi="Times New Roman"/>
          <w:szCs w:val="24"/>
        </w:rPr>
      </w:pPr>
      <w:r>
        <w:rPr>
          <w:noProof/>
        </w:rPr>
        <w:drawing>
          <wp:anchor distT="0" distB="0" distL="114300" distR="114300" simplePos="0" relativeHeight="251610112" behindDoc="0" locked="0" layoutInCell="1" allowOverlap="1">
            <wp:simplePos x="0" y="0"/>
            <wp:positionH relativeFrom="margin">
              <wp:posOffset>0</wp:posOffset>
            </wp:positionH>
            <wp:positionV relativeFrom="margin">
              <wp:posOffset>4284345</wp:posOffset>
            </wp:positionV>
            <wp:extent cx="1642110" cy="1665605"/>
            <wp:effectExtent l="19050" t="0" r="0" b="0"/>
            <wp:wrapSquare wrapText="bothSides"/>
            <wp:docPr id="1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6"/>
                    <a:srcRect/>
                    <a:stretch>
                      <a:fillRect/>
                    </a:stretch>
                  </pic:blipFill>
                  <pic:spPr bwMode="auto">
                    <a:xfrm>
                      <a:off x="0" y="0"/>
                      <a:ext cx="1642110" cy="1665605"/>
                    </a:xfrm>
                    <a:prstGeom prst="rect">
                      <a:avLst/>
                    </a:prstGeom>
                    <a:noFill/>
                  </pic:spPr>
                </pic:pic>
              </a:graphicData>
            </a:graphic>
          </wp:anchor>
        </w:drawing>
      </w:r>
      <w:r w:rsidR="00C4085C" w:rsidRPr="00C4085C">
        <w:rPr>
          <w:noProof/>
        </w:rPr>
        <w:pict>
          <v:shape id="_x0000_s1138" type="#_x0000_t202" style="position:absolute;left:0;text-align:left;margin-left:315.7pt;margin-top:131.95pt;width:166.1pt;height:13.5pt;z-index:251614208;mso-position-horizontal-relative:text;mso-position-vertical-relative:text" stroked="f">
            <v:textbox inset="0,0,0,0">
              <w:txbxContent>
                <w:p w:rsidR="00AC06D4" w:rsidRPr="0083062E" w:rsidRDefault="00AC06D4" w:rsidP="00A73182">
                  <w:pPr>
                    <w:pStyle w:val="Didascalia"/>
                    <w:jc w:val="center"/>
                    <w:rPr>
                      <w:rFonts w:ascii="Times New Roman" w:hAnsi="Times New Roman"/>
                      <w:noProof/>
                      <w:sz w:val="24"/>
                      <w:szCs w:val="24"/>
                    </w:rPr>
                  </w:pPr>
                  <w:r>
                    <w:t>G. Doré: Debora giudice</w:t>
                  </w:r>
                </w:p>
              </w:txbxContent>
            </v:textbox>
            <w10:wrap type="square"/>
          </v:shape>
        </w:pict>
      </w:r>
      <w:r>
        <w:rPr>
          <w:noProof/>
        </w:rPr>
        <w:drawing>
          <wp:anchor distT="0" distB="0" distL="114300" distR="114300" simplePos="0" relativeHeight="251613184" behindDoc="0" locked="0" layoutInCell="1" allowOverlap="1">
            <wp:simplePos x="0" y="0"/>
            <wp:positionH relativeFrom="margin">
              <wp:align>right</wp:align>
            </wp:positionH>
            <wp:positionV relativeFrom="margin">
              <wp:posOffset>386715</wp:posOffset>
            </wp:positionV>
            <wp:extent cx="2116455" cy="2727960"/>
            <wp:effectExtent l="19050" t="0" r="0" b="0"/>
            <wp:wrapSquare wrapText="bothSides"/>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a:srcRect/>
                    <a:stretch>
                      <a:fillRect/>
                    </a:stretch>
                  </pic:blipFill>
                  <pic:spPr bwMode="auto">
                    <a:xfrm>
                      <a:off x="0" y="0"/>
                      <a:ext cx="2116455" cy="2727960"/>
                    </a:xfrm>
                    <a:prstGeom prst="rect">
                      <a:avLst/>
                    </a:prstGeom>
                    <a:noFill/>
                  </pic:spPr>
                </pic:pic>
              </a:graphicData>
            </a:graphic>
          </wp:anchor>
        </w:drawing>
      </w:r>
      <w:r w:rsidR="00ED02CA">
        <w:rPr>
          <w:rFonts w:ascii="Times New Roman" w:hAnsi="Times New Roman"/>
          <w:szCs w:val="24"/>
        </w:rPr>
        <w:t xml:space="preserve">Giosuè non poté conquistare tutta la terra di Canaan; rimasero molte isole indipendenti di popolazione locale e di città fortificate. Ogni tribù provvide a conquistarsi interamente il proprio territorio non senza gravi difficoltà di offesa e di difesa. </w:t>
      </w:r>
      <w:r w:rsidR="00ED02CA">
        <w:rPr>
          <w:rFonts w:ascii="Times New Roman" w:hAnsi="Times New Roman"/>
          <w:b/>
          <w:szCs w:val="24"/>
        </w:rPr>
        <w:t>Per 150 anni</w:t>
      </w:r>
      <w:r w:rsidR="00ED02CA">
        <w:rPr>
          <w:rFonts w:ascii="Times New Roman" w:hAnsi="Times New Roman"/>
          <w:szCs w:val="24"/>
        </w:rPr>
        <w:t xml:space="preserve">, fino all’avvento della monarchia ebraica (1000 a.C.) la situazione politica fu fluida. Gli ebrei dovettero subire spesso incursioni e oppressioni locali. Ne parla il </w:t>
      </w:r>
      <w:r w:rsidR="00ED02CA">
        <w:rPr>
          <w:rFonts w:ascii="Times New Roman" w:hAnsi="Times New Roman"/>
          <w:b/>
          <w:szCs w:val="24"/>
        </w:rPr>
        <w:t>Libro dei Giudici</w:t>
      </w:r>
      <w:r w:rsidR="00ED02CA">
        <w:rPr>
          <w:rFonts w:ascii="Times New Roman" w:hAnsi="Times New Roman"/>
          <w:szCs w:val="24"/>
        </w:rPr>
        <w:t>. Lo scritto porta questo titolo perché protagonisti sono uomini politici e militari detti «</w:t>
      </w:r>
      <w:r w:rsidR="00ED02CA">
        <w:rPr>
          <w:rFonts w:ascii="Times New Roman" w:hAnsi="Times New Roman"/>
          <w:b/>
          <w:szCs w:val="24"/>
        </w:rPr>
        <w:t>Giudici</w:t>
      </w:r>
      <w:r w:rsidR="00ED02CA">
        <w:rPr>
          <w:rFonts w:ascii="Times New Roman" w:hAnsi="Times New Roman"/>
          <w:szCs w:val="24"/>
        </w:rPr>
        <w:t>» (</w:t>
      </w:r>
      <w:r w:rsidR="00ED02CA">
        <w:rPr>
          <w:rFonts w:ascii="Times New Roman" w:hAnsi="Times New Roman"/>
          <w:b/>
          <w:i/>
          <w:szCs w:val="24"/>
        </w:rPr>
        <w:t>Shophetim</w:t>
      </w:r>
      <w:r w:rsidR="00ED02CA">
        <w:rPr>
          <w:rFonts w:ascii="Times New Roman" w:hAnsi="Times New Roman"/>
          <w:szCs w:val="24"/>
        </w:rPr>
        <w:t xml:space="preserve">) nel senso che </w:t>
      </w:r>
      <w:r w:rsidR="00ED02CA">
        <w:rPr>
          <w:rFonts w:ascii="Times New Roman" w:hAnsi="Times New Roman"/>
          <w:i/>
          <w:szCs w:val="24"/>
        </w:rPr>
        <w:t>hanno reso giustizia</w:t>
      </w:r>
      <w:r w:rsidR="00ED02CA">
        <w:rPr>
          <w:rFonts w:ascii="Times New Roman" w:hAnsi="Times New Roman"/>
          <w:szCs w:val="24"/>
        </w:rPr>
        <w:t xml:space="preserve"> agli oppressi e hanno </w:t>
      </w:r>
      <w:r w:rsidR="00ED02CA">
        <w:rPr>
          <w:rFonts w:ascii="Times New Roman" w:hAnsi="Times New Roman"/>
          <w:i/>
          <w:szCs w:val="24"/>
        </w:rPr>
        <w:t>ristabilito l’ordine</w:t>
      </w:r>
      <w:r w:rsidR="00ED02CA">
        <w:rPr>
          <w:rFonts w:ascii="Times New Roman" w:hAnsi="Times New Roman"/>
          <w:szCs w:val="24"/>
        </w:rPr>
        <w:t xml:space="preserve"> perturbato. La loro fu </w:t>
      </w:r>
      <w:r w:rsidR="00ED02CA">
        <w:rPr>
          <w:rFonts w:ascii="Times New Roman" w:hAnsi="Times New Roman"/>
          <w:b/>
          <w:szCs w:val="24"/>
        </w:rPr>
        <w:t>un’epoca terribile</w:t>
      </w:r>
      <w:r w:rsidR="00ED02CA">
        <w:rPr>
          <w:rFonts w:ascii="Times New Roman" w:hAnsi="Times New Roman"/>
          <w:szCs w:val="24"/>
        </w:rPr>
        <w:t xml:space="preserve"> dominata dalla </w:t>
      </w:r>
      <w:r w:rsidR="00ED02CA">
        <w:rPr>
          <w:rFonts w:ascii="Times New Roman" w:hAnsi="Times New Roman"/>
          <w:b/>
          <w:szCs w:val="24"/>
        </w:rPr>
        <w:t>barbarie</w:t>
      </w:r>
      <w:r w:rsidR="00ED02CA">
        <w:rPr>
          <w:rFonts w:ascii="Times New Roman" w:hAnsi="Times New Roman"/>
          <w:szCs w:val="24"/>
        </w:rPr>
        <w:t xml:space="preserve">, di </w:t>
      </w:r>
      <w:r w:rsidR="00ED02CA">
        <w:rPr>
          <w:rFonts w:ascii="Times New Roman" w:hAnsi="Times New Roman"/>
          <w:b/>
          <w:szCs w:val="24"/>
        </w:rPr>
        <w:t>rozzezza</w:t>
      </w:r>
      <w:r w:rsidR="00ED02CA">
        <w:rPr>
          <w:rFonts w:ascii="Times New Roman" w:hAnsi="Times New Roman"/>
          <w:szCs w:val="24"/>
        </w:rPr>
        <w:t xml:space="preserve"> politica e militare, di scatenata </w:t>
      </w:r>
      <w:r w:rsidR="00ED02CA">
        <w:rPr>
          <w:rFonts w:ascii="Times New Roman" w:hAnsi="Times New Roman"/>
          <w:b/>
          <w:szCs w:val="24"/>
        </w:rPr>
        <w:t>crudeltà</w:t>
      </w:r>
      <w:r w:rsidR="00ED02CA">
        <w:rPr>
          <w:rFonts w:ascii="Times New Roman" w:hAnsi="Times New Roman"/>
          <w:szCs w:val="24"/>
        </w:rPr>
        <w:t xml:space="preserve"> irrazionale, di idolatria copiata dai Cananei. Il Giudizio dell’autore biblico è spietato: «Gli Israeliti fecero ciò che è male agli occhi del Signore. Abbandonarono il Signore e servirono Baal e Astarte. Allora si accese  l’ira del Signore contro Israele e li mise in mano a predatori che li depredarono. Il Signore lasciò sussistere quelle nazioni (di Canaan), senza affrettarsi a scacciarle, e non le consegnò nelle mani di Giosuè» (Gdc 2,11-23).</w:t>
      </w:r>
      <w:r w:rsidR="00ED02CA" w:rsidRPr="001526D9">
        <w:rPr>
          <w:snapToGrid w:val="0"/>
          <w:color w:val="000000"/>
          <w:w w:val="0"/>
          <w:sz w:val="2"/>
          <w:u w:color="000000"/>
          <w:bdr w:val="none" w:sz="0" w:space="0" w:color="000000"/>
          <w:shd w:val="clear" w:color="000000" w:fill="000000"/>
        </w:rPr>
        <w:t xml:space="preserve"> </w:t>
      </w:r>
    </w:p>
    <w:p w:rsidR="00ED02CA" w:rsidRDefault="00ED02CA" w:rsidP="007F37C6">
      <w:pPr>
        <w:jc w:val="both"/>
        <w:rPr>
          <w:rFonts w:ascii="Times New Roman" w:hAnsi="Times New Roman"/>
          <w:szCs w:val="24"/>
        </w:rPr>
      </w:pPr>
    </w:p>
    <w:p w:rsidR="009D06C7" w:rsidRDefault="00ED02CA" w:rsidP="009D06C7">
      <w:pPr>
        <w:ind w:left="1416"/>
        <w:jc w:val="both"/>
        <w:rPr>
          <w:rFonts w:ascii="Times New Roman" w:hAnsi="Times New Roman"/>
          <w:szCs w:val="24"/>
        </w:rPr>
      </w:pPr>
      <w:r>
        <w:rPr>
          <w:rFonts w:ascii="Times New Roman" w:hAnsi="Times New Roman"/>
          <w:szCs w:val="24"/>
        </w:rPr>
        <w:t xml:space="preserve">La Bibbia racconta la storia di quegli anni bui come </w:t>
      </w:r>
      <w:r>
        <w:rPr>
          <w:rFonts w:ascii="Times New Roman" w:hAnsi="Times New Roman"/>
          <w:b/>
          <w:szCs w:val="24"/>
        </w:rPr>
        <w:t>emblematica</w:t>
      </w:r>
      <w:r>
        <w:rPr>
          <w:rFonts w:ascii="Times New Roman" w:hAnsi="Times New Roman"/>
          <w:szCs w:val="24"/>
        </w:rPr>
        <w:t xml:space="preserve"> di un ambiente dove  la mancanza di fede in Dio genera disastri, disordini, corruzione, oppressione. Quegli eventi indicano che </w:t>
      </w:r>
      <w:r>
        <w:rPr>
          <w:rFonts w:ascii="Times New Roman" w:hAnsi="Times New Roman"/>
          <w:b/>
          <w:szCs w:val="24"/>
        </w:rPr>
        <w:t>l’umanità è incapace di salvarsi da sola</w:t>
      </w:r>
      <w:r>
        <w:rPr>
          <w:rFonts w:ascii="Times New Roman" w:hAnsi="Times New Roman"/>
          <w:szCs w:val="24"/>
        </w:rPr>
        <w:t>, senza l’aiuto di Dio; solo Dio può salvare dalla corruzione, dalla violenza e dalla barbarie. Nonostante l’incredulità e la malv</w:t>
      </w:r>
      <w:r w:rsidR="009D06C7">
        <w:rPr>
          <w:rFonts w:ascii="Times New Roman" w:hAnsi="Times New Roman"/>
          <w:szCs w:val="24"/>
        </w:rPr>
        <w:t>agità umane, Dio non abbandona</w:t>
      </w:r>
    </w:p>
    <w:p w:rsidR="00ED02CA" w:rsidRDefault="00C4085C" w:rsidP="009D06C7">
      <w:pPr>
        <w:jc w:val="both"/>
        <w:rPr>
          <w:rFonts w:ascii="Times New Roman" w:hAnsi="Times New Roman"/>
          <w:szCs w:val="24"/>
        </w:rPr>
      </w:pPr>
      <w:r w:rsidRPr="00C4085C">
        <w:rPr>
          <w:noProof/>
        </w:rPr>
        <w:pict>
          <v:shape id="_x0000_s1140" type="#_x0000_t202" style="position:absolute;left:0;text-align:left;margin-left:-136.8pt;margin-top:13.15pt;width:127.8pt;height:7.9pt;z-index:251599872" stroked="f">
            <v:textbox inset="0,0,0,0">
              <w:txbxContent>
                <w:p w:rsidR="00AC06D4" w:rsidRDefault="00AC06D4" w:rsidP="00956A0C">
                  <w:pPr>
                    <w:pStyle w:val="Didascalia"/>
                    <w:jc w:val="center"/>
                    <w:rPr>
                      <w:noProof/>
                    </w:rPr>
                  </w:pPr>
                  <w:r>
                    <w:t>G.A. Pell</w:t>
                  </w:r>
                  <w:r w:rsidRPr="00E06D2B">
                    <w:rPr>
                      <w:i/>
                    </w:rPr>
                    <w:t xml:space="preserve">egrini. Iefte </w:t>
                  </w:r>
                  <w:r>
                    <w:t>e sua figlia</w:t>
                  </w:r>
                </w:p>
              </w:txbxContent>
            </v:textbox>
            <w10:wrap type="square"/>
          </v:shape>
        </w:pict>
      </w:r>
      <w:r w:rsidR="00ED02CA">
        <w:rPr>
          <w:rFonts w:ascii="Times New Roman" w:hAnsi="Times New Roman"/>
          <w:szCs w:val="24"/>
        </w:rPr>
        <w:t>gli uomini a se stessi, ma viene in loro soccorso ogni volta che ricorrono a lui. Allora egli suscita uomini salvatori dotati dei suoi potenti carismi. Tali appaiono «</w:t>
      </w:r>
      <w:r w:rsidR="00ED02CA">
        <w:rPr>
          <w:rFonts w:ascii="Times New Roman" w:hAnsi="Times New Roman"/>
          <w:b/>
          <w:szCs w:val="24"/>
        </w:rPr>
        <w:t>i giudici</w:t>
      </w:r>
      <w:r w:rsidR="00ED02CA">
        <w:rPr>
          <w:rFonts w:ascii="Times New Roman" w:hAnsi="Times New Roman"/>
          <w:szCs w:val="24"/>
        </w:rPr>
        <w:t xml:space="preserve">», persone scelte dal basso, tra la gente semplice. Qualche volta essi sono strani, eccentrici, estrosi come Sansone, altre volte sono persone generose che prendono a cuore la condizione triste del loro popolo e intervengono generosamente ed eroicamente. In tutto </w:t>
      </w:r>
      <w:r w:rsidR="00ED02CA">
        <w:rPr>
          <w:rFonts w:ascii="Times New Roman" w:hAnsi="Times New Roman"/>
          <w:b/>
          <w:szCs w:val="24"/>
        </w:rPr>
        <w:t>ne vengono ricordati dodici: quattro sono considerati</w:t>
      </w:r>
      <w:r w:rsidR="00ED02CA">
        <w:rPr>
          <w:rFonts w:ascii="Times New Roman" w:hAnsi="Times New Roman"/>
          <w:szCs w:val="24"/>
        </w:rPr>
        <w:t xml:space="preserve"> </w:t>
      </w:r>
      <w:r w:rsidR="00ED02CA">
        <w:rPr>
          <w:rFonts w:ascii="Times New Roman" w:hAnsi="Times New Roman"/>
          <w:b/>
          <w:szCs w:val="24"/>
        </w:rPr>
        <w:t xml:space="preserve">maggiori </w:t>
      </w:r>
      <w:r w:rsidR="00ED02CA">
        <w:rPr>
          <w:rFonts w:ascii="Times New Roman" w:hAnsi="Times New Roman"/>
          <w:szCs w:val="24"/>
        </w:rPr>
        <w:t xml:space="preserve">solo perché si raccontano le loro gesta con maggiore ampiezza e sono perciò i più conosciuti. Sono: </w:t>
      </w:r>
      <w:r w:rsidR="00ED02CA">
        <w:rPr>
          <w:rFonts w:ascii="Times New Roman" w:hAnsi="Times New Roman"/>
          <w:b/>
          <w:szCs w:val="24"/>
        </w:rPr>
        <w:t xml:space="preserve">Debora </w:t>
      </w:r>
      <w:r w:rsidR="00ED02CA">
        <w:rPr>
          <w:rFonts w:ascii="Times New Roman" w:hAnsi="Times New Roman"/>
          <w:szCs w:val="24"/>
        </w:rPr>
        <w:t xml:space="preserve">in coppia con </w:t>
      </w:r>
      <w:r w:rsidR="00ED02CA">
        <w:rPr>
          <w:rFonts w:ascii="Times New Roman" w:hAnsi="Times New Roman"/>
          <w:b/>
          <w:szCs w:val="24"/>
        </w:rPr>
        <w:t>Barak (Gdc 4-5)</w:t>
      </w:r>
      <w:r w:rsidR="00ED02CA">
        <w:rPr>
          <w:rFonts w:ascii="Times New Roman" w:hAnsi="Times New Roman"/>
          <w:szCs w:val="24"/>
        </w:rPr>
        <w:t>,</w:t>
      </w:r>
      <w:r w:rsidR="00ED02CA">
        <w:rPr>
          <w:rFonts w:ascii="Times New Roman" w:hAnsi="Times New Roman"/>
          <w:b/>
          <w:szCs w:val="24"/>
        </w:rPr>
        <w:t xml:space="preserve"> Gedeone (Gdc 6-8), Iefte (Gdc 10-12) e Sansone (Gdc 13-16). </w:t>
      </w:r>
      <w:r w:rsidR="00ED02CA">
        <w:rPr>
          <w:rFonts w:ascii="Times New Roman" w:hAnsi="Times New Roman"/>
          <w:szCs w:val="24"/>
        </w:rPr>
        <w:t>Gli altri sono considerati</w:t>
      </w:r>
      <w:r w:rsidR="00ED02CA">
        <w:rPr>
          <w:rFonts w:ascii="Times New Roman" w:hAnsi="Times New Roman"/>
          <w:b/>
          <w:szCs w:val="24"/>
        </w:rPr>
        <w:t xml:space="preserve"> minori</w:t>
      </w:r>
      <w:r w:rsidR="00ED02CA">
        <w:rPr>
          <w:rFonts w:ascii="Times New Roman" w:hAnsi="Times New Roman"/>
          <w:szCs w:val="24"/>
        </w:rPr>
        <w:t xml:space="preserve"> perché di loro abbiamo scarne notizie. Sono: Otoniel, Ehud, Samgar, Tola, Iair, Ibsan,</w:t>
      </w:r>
      <w:r w:rsidR="006D346B">
        <w:rPr>
          <w:rFonts w:ascii="Times New Roman" w:hAnsi="Times New Roman"/>
          <w:szCs w:val="24"/>
        </w:rPr>
        <w:t xml:space="preserve"> </w:t>
      </w:r>
      <w:r w:rsidR="00ED02CA">
        <w:rPr>
          <w:rFonts w:ascii="Times New Roman" w:hAnsi="Times New Roman"/>
          <w:szCs w:val="24"/>
        </w:rPr>
        <w:t>Elon,</w:t>
      </w:r>
      <w:r w:rsidR="006D346B">
        <w:rPr>
          <w:rFonts w:ascii="Times New Roman" w:hAnsi="Times New Roman"/>
          <w:szCs w:val="24"/>
        </w:rPr>
        <w:t xml:space="preserve"> </w:t>
      </w:r>
      <w:r w:rsidR="00ED02CA">
        <w:rPr>
          <w:rFonts w:ascii="Times New Roman" w:hAnsi="Times New Roman"/>
          <w:szCs w:val="24"/>
        </w:rPr>
        <w:t xml:space="preserve">Abdon. </w:t>
      </w:r>
    </w:p>
    <w:p w:rsidR="00ED02CA" w:rsidRDefault="00ED02CA" w:rsidP="007F37C6">
      <w:pPr>
        <w:jc w:val="both"/>
        <w:rPr>
          <w:rFonts w:ascii="Times New Roman" w:hAnsi="Times New Roman"/>
          <w:szCs w:val="24"/>
        </w:rPr>
      </w:pPr>
    </w:p>
    <w:p w:rsidR="00ED02CA" w:rsidRDefault="00ED02CA" w:rsidP="007F37C6">
      <w:pPr>
        <w:ind w:firstLine="708"/>
        <w:jc w:val="both"/>
        <w:rPr>
          <w:rFonts w:ascii="Times New Roman" w:hAnsi="Times New Roman"/>
          <w:szCs w:val="24"/>
        </w:rPr>
      </w:pPr>
      <w:r>
        <w:rPr>
          <w:rFonts w:ascii="Times New Roman" w:hAnsi="Times New Roman"/>
          <w:szCs w:val="24"/>
        </w:rPr>
        <w:t>Tutti hanno operato la loro opera di liberazione militare in modo limitato e sporadico, spesso in contemporanea nei vari territori di Canaan, in seno alla propria tribù. La Palestina era allora abitata da genti diverse per razza, per provenienza e per cultura. C’erano i nativi Cananei, e accanto ad essi, immigrati Amorriti, Hittiti, Gebusei,</w:t>
      </w:r>
      <w:r w:rsidR="006D346B">
        <w:rPr>
          <w:rFonts w:ascii="Times New Roman" w:hAnsi="Times New Roman"/>
          <w:szCs w:val="24"/>
        </w:rPr>
        <w:t xml:space="preserve"> </w:t>
      </w:r>
      <w:r>
        <w:rPr>
          <w:rFonts w:ascii="Times New Roman" w:hAnsi="Times New Roman"/>
          <w:szCs w:val="24"/>
        </w:rPr>
        <w:t>Evei, Ferezei, Amaleciti,</w:t>
      </w:r>
      <w:r w:rsidR="006D346B">
        <w:rPr>
          <w:rFonts w:ascii="Times New Roman" w:hAnsi="Times New Roman"/>
          <w:szCs w:val="24"/>
        </w:rPr>
        <w:t xml:space="preserve"> </w:t>
      </w:r>
      <w:r>
        <w:rPr>
          <w:rFonts w:ascii="Times New Roman" w:hAnsi="Times New Roman"/>
          <w:szCs w:val="24"/>
        </w:rPr>
        <w:t xml:space="preserve">Moabiti, Madianiti, Filistei. Era una specie di grande contenitore di popoli indipendenti spesso in lotta fra loro in cerca di spazi vitali. Gli Ebrei, ultimi arrivati dovettero farsi posto, sgomitando i vicini, sempre in condizioni molto precarie. Lentamente però riuscirono a conquistare e ad assimilare tutta quell’amalgama di </w:t>
      </w:r>
      <w:r>
        <w:rPr>
          <w:rFonts w:ascii="Times New Roman" w:hAnsi="Times New Roman"/>
          <w:szCs w:val="24"/>
        </w:rPr>
        <w:lastRenderedPageBreak/>
        <w:t>popoli. Ma questo fu opera di violenze, di guerre combattute dai primi sovrani che successero ai giudici.</w:t>
      </w:r>
    </w:p>
    <w:p w:rsidR="00ED02CA" w:rsidRDefault="00ED02CA" w:rsidP="007F37C6">
      <w:pPr>
        <w:jc w:val="both"/>
        <w:rPr>
          <w:rFonts w:ascii="Times New Roman" w:hAnsi="Times New Roman"/>
          <w:szCs w:val="24"/>
        </w:rPr>
      </w:pPr>
    </w:p>
    <w:p w:rsidR="00ED02CA" w:rsidRDefault="00E33DB3" w:rsidP="007F37C6">
      <w:pPr>
        <w:ind w:firstLine="708"/>
        <w:jc w:val="both"/>
        <w:rPr>
          <w:rFonts w:ascii="Times New Roman" w:hAnsi="Times New Roman"/>
          <w:szCs w:val="24"/>
        </w:rPr>
      </w:pPr>
      <w:r>
        <w:rPr>
          <w:noProof/>
        </w:rPr>
        <w:drawing>
          <wp:anchor distT="0" distB="0" distL="114300" distR="114300" simplePos="0" relativeHeight="251615232" behindDoc="0" locked="0" layoutInCell="1" allowOverlap="1">
            <wp:simplePos x="0" y="0"/>
            <wp:positionH relativeFrom="margin">
              <wp:align>right</wp:align>
            </wp:positionH>
            <wp:positionV relativeFrom="margin">
              <wp:posOffset>779780</wp:posOffset>
            </wp:positionV>
            <wp:extent cx="2120265" cy="2594610"/>
            <wp:effectExtent l="19050" t="0" r="0" b="0"/>
            <wp:wrapSquare wrapText="bothSides"/>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a:srcRect/>
                    <a:stretch>
                      <a:fillRect/>
                    </a:stretch>
                  </pic:blipFill>
                  <pic:spPr bwMode="auto">
                    <a:xfrm>
                      <a:off x="0" y="0"/>
                      <a:ext cx="2120265" cy="2594610"/>
                    </a:xfrm>
                    <a:prstGeom prst="rect">
                      <a:avLst/>
                    </a:prstGeom>
                    <a:noFill/>
                  </pic:spPr>
                </pic:pic>
              </a:graphicData>
            </a:graphic>
          </wp:anchor>
        </w:drawing>
      </w:r>
      <w:r w:rsidR="00ED02CA">
        <w:rPr>
          <w:rFonts w:ascii="Times New Roman" w:hAnsi="Times New Roman"/>
          <w:szCs w:val="24"/>
        </w:rPr>
        <w:t>Il Libro dei Giudici si conclude con due strane appendici che rispecchiano ancora una volta la barbarie dei tempi: Il trasferimento della tribù di Dan dalla costa alle pendici meridionali del monte Hermon con gesta violente (Gdc 17-18) e la decimazione della tribù di Beniamino per un delitto efferato avvenuto nel suo territorio (Gdc 19-21). In armonia con l’insegnamento teologico del libro: senza la fede in Dio e la fedeltà alla sua legge è possibile ogni forma di violenza, di oppressione e  barbarie. Il libro spezza una lancia in favore della monarchia, cioè di un governo forte e unitario che metta ordine tra le tribù: «In quel tempo non c’era un re in Israele; ognuno faceva come gli sembrava bene» (Gdc 21,25).</w:t>
      </w:r>
    </w:p>
    <w:p w:rsidR="00ED02CA" w:rsidRDefault="00ED02CA" w:rsidP="007F37C6">
      <w:pPr>
        <w:jc w:val="both"/>
        <w:rPr>
          <w:rFonts w:ascii="Times New Roman" w:hAnsi="Times New Roman"/>
          <w:b/>
          <w:szCs w:val="24"/>
        </w:rPr>
      </w:pPr>
    </w:p>
    <w:p w:rsidR="00ED02CA" w:rsidRPr="00573AC6" w:rsidRDefault="00ED02CA" w:rsidP="007F37C6">
      <w:pPr>
        <w:jc w:val="both"/>
        <w:rPr>
          <w:rFonts w:ascii="Times New Roman" w:hAnsi="Times New Roman"/>
          <w:szCs w:val="24"/>
        </w:rPr>
      </w:pPr>
    </w:p>
    <w:p w:rsidR="00ED02CA" w:rsidRPr="009D06C7" w:rsidRDefault="00ED02CA" w:rsidP="007F37C6">
      <w:pPr>
        <w:jc w:val="both"/>
        <w:rPr>
          <w:rFonts w:ascii="Times New Roman" w:hAnsi="Times New Roman"/>
          <w:b/>
          <w:szCs w:val="24"/>
        </w:rPr>
      </w:pPr>
      <w:r w:rsidRPr="009D06C7">
        <w:rPr>
          <w:rFonts w:ascii="Times New Roman" w:hAnsi="Times New Roman"/>
          <w:b/>
          <w:szCs w:val="24"/>
        </w:rPr>
        <w:t xml:space="preserve">La nascita della monarchia ebraica </w:t>
      </w:r>
    </w:p>
    <w:p w:rsidR="00ED02CA" w:rsidRDefault="00ED02CA" w:rsidP="007F37C6">
      <w:pPr>
        <w:jc w:val="both"/>
        <w:rPr>
          <w:rFonts w:ascii="Times New Roman" w:hAnsi="Times New Roman"/>
          <w:b/>
          <w:szCs w:val="24"/>
        </w:rPr>
      </w:pPr>
    </w:p>
    <w:p w:rsidR="00ED02CA" w:rsidRDefault="00C4085C" w:rsidP="007F37C6">
      <w:pPr>
        <w:ind w:firstLine="708"/>
        <w:jc w:val="both"/>
        <w:rPr>
          <w:rFonts w:ascii="Times New Roman" w:hAnsi="Times New Roman"/>
          <w:szCs w:val="24"/>
        </w:rPr>
      </w:pPr>
      <w:r w:rsidRPr="00C4085C">
        <w:rPr>
          <w:noProof/>
        </w:rPr>
        <w:pict>
          <v:shape id="_x0000_s1143" type="#_x0000_t202" style="position:absolute;left:0;text-align:left;margin-left:319.3pt;margin-top:17.3pt;width:157.55pt;height:9.9pt;z-index:251616256" stroked="f">
            <v:textbox inset="0,0,0,0">
              <w:txbxContent>
                <w:p w:rsidR="00AC06D4" w:rsidRPr="00CB5341" w:rsidRDefault="00AC06D4" w:rsidP="00956A0C">
                  <w:pPr>
                    <w:pStyle w:val="Didascalia"/>
                    <w:jc w:val="center"/>
                    <w:rPr>
                      <w:rFonts w:ascii="Times New Roman" w:hAnsi="Times New Roman"/>
                      <w:noProof/>
                      <w:sz w:val="24"/>
                      <w:szCs w:val="24"/>
                    </w:rPr>
                  </w:pPr>
                  <w:r>
                    <w:t>Samuele ultimo giudice</w:t>
                  </w:r>
                </w:p>
              </w:txbxContent>
            </v:textbox>
            <w10:wrap type="square"/>
          </v:shape>
        </w:pict>
      </w:r>
      <w:r w:rsidR="00ED02CA">
        <w:rPr>
          <w:rFonts w:ascii="Times New Roman" w:hAnsi="Times New Roman"/>
          <w:szCs w:val="24"/>
        </w:rPr>
        <w:t xml:space="preserve">A fare da ponte tra l’epoca dei giudici e quella dei re è la figura maestosa di </w:t>
      </w:r>
      <w:r w:rsidR="00ED02CA">
        <w:rPr>
          <w:rFonts w:ascii="Times New Roman" w:hAnsi="Times New Roman"/>
          <w:b/>
          <w:szCs w:val="24"/>
        </w:rPr>
        <w:t>Samuele</w:t>
      </w:r>
      <w:r w:rsidR="00ED02CA">
        <w:rPr>
          <w:rFonts w:ascii="Times New Roman" w:hAnsi="Times New Roman"/>
          <w:szCs w:val="24"/>
        </w:rPr>
        <w:t xml:space="preserve">, uno dei grandi protagonisti della storia biblica. Ce lo raccontano i </w:t>
      </w:r>
      <w:r w:rsidR="00ED02CA">
        <w:rPr>
          <w:rFonts w:ascii="Times New Roman" w:hAnsi="Times New Roman"/>
          <w:b/>
          <w:szCs w:val="24"/>
        </w:rPr>
        <w:t>due libri</w:t>
      </w:r>
      <w:r w:rsidR="00ED02CA">
        <w:rPr>
          <w:rFonts w:ascii="Times New Roman" w:hAnsi="Times New Roman"/>
          <w:szCs w:val="24"/>
        </w:rPr>
        <w:t xml:space="preserve"> che portano il suo nome. Nell’ originale ebraico i due libri sono uniti in uno solo; fu la versione greca dei LXX a dividerli  in due rotoli forse per ragioni pratiche di lettura. La stessa versione li abbina ai due Libri dei Re e compone un’unica storia in </w:t>
      </w:r>
      <w:r w:rsidR="00ED02CA">
        <w:rPr>
          <w:rFonts w:ascii="Times New Roman" w:hAnsi="Times New Roman"/>
          <w:b/>
          <w:szCs w:val="24"/>
        </w:rPr>
        <w:t>quattro libri</w:t>
      </w:r>
      <w:r w:rsidR="00ED02CA">
        <w:rPr>
          <w:rFonts w:ascii="Times New Roman" w:hAnsi="Times New Roman"/>
          <w:szCs w:val="24"/>
        </w:rPr>
        <w:t xml:space="preserve"> intitolata «</w:t>
      </w:r>
      <w:r w:rsidR="00ED02CA">
        <w:rPr>
          <w:rFonts w:ascii="Times New Roman" w:hAnsi="Times New Roman"/>
          <w:b/>
          <w:szCs w:val="24"/>
        </w:rPr>
        <w:t>Libri dei regni</w:t>
      </w:r>
      <w:r w:rsidR="00ED02CA">
        <w:rPr>
          <w:rFonts w:ascii="Times New Roman" w:hAnsi="Times New Roman"/>
          <w:szCs w:val="24"/>
        </w:rPr>
        <w:t xml:space="preserve">», come appare nella versione latina detta Volgata che titola il tutto in </w:t>
      </w:r>
      <w:r w:rsidR="00ED02CA">
        <w:rPr>
          <w:rFonts w:ascii="Times New Roman" w:hAnsi="Times New Roman"/>
          <w:b/>
          <w:szCs w:val="24"/>
        </w:rPr>
        <w:t>4 Libri dei re</w:t>
      </w:r>
      <w:r w:rsidR="00ED02CA">
        <w:rPr>
          <w:rFonts w:ascii="Times New Roman" w:hAnsi="Times New Roman"/>
          <w:szCs w:val="24"/>
        </w:rPr>
        <w:t>. In essi si narra la storia dei re di Giuda e di Israele.</w:t>
      </w:r>
      <w:r w:rsidR="00ED02CA">
        <w:rPr>
          <w:rFonts w:ascii="Times New Roman" w:hAnsi="Times New Roman"/>
          <w:snapToGrid w:val="0"/>
          <w:color w:val="000000"/>
          <w:w w:val="1"/>
          <w:sz w:val="2"/>
          <w:szCs w:val="2"/>
          <w:bdr w:val="none" w:sz="0" w:space="0" w:color="auto" w:frame="1"/>
          <w:shd w:val="clear" w:color="auto" w:fill="000000"/>
        </w:rPr>
        <w:t xml:space="preserve"> </w:t>
      </w:r>
    </w:p>
    <w:p w:rsidR="00ED02CA" w:rsidRDefault="00ED02CA" w:rsidP="007F37C6">
      <w:pPr>
        <w:ind w:firstLine="708"/>
        <w:jc w:val="both"/>
      </w:pPr>
    </w:p>
    <w:p w:rsidR="00ED02CA" w:rsidRDefault="00ED02CA" w:rsidP="007F37C6">
      <w:pPr>
        <w:ind w:firstLine="708"/>
        <w:jc w:val="both"/>
        <w:rPr>
          <w:rFonts w:ascii="Times New Roman" w:hAnsi="Times New Roman"/>
          <w:szCs w:val="24"/>
        </w:rPr>
      </w:pPr>
      <w:r>
        <w:rPr>
          <w:rFonts w:ascii="Times New Roman" w:hAnsi="Times New Roman"/>
          <w:b/>
          <w:szCs w:val="24"/>
        </w:rPr>
        <w:t>La storia di questi libri è lunga e complicata</w:t>
      </w:r>
      <w:r>
        <w:rPr>
          <w:rFonts w:ascii="Times New Roman" w:hAnsi="Times New Roman"/>
          <w:szCs w:val="24"/>
        </w:rPr>
        <w:t xml:space="preserve">. Lo indicano i doppioni dei racconti, le disuguaglianze di stile, lo spazio di tempo che abbraccia circa 130 anni di storia. Forse al tempo di Salomone  furono raccolte </w:t>
      </w:r>
      <w:r>
        <w:rPr>
          <w:rFonts w:ascii="Times New Roman" w:hAnsi="Times New Roman"/>
          <w:b/>
          <w:szCs w:val="24"/>
        </w:rPr>
        <w:t>le prime tradizioni orali e i racconti dei circoli profetici</w:t>
      </w:r>
      <w:r>
        <w:rPr>
          <w:rFonts w:ascii="Times New Roman" w:hAnsi="Times New Roman"/>
          <w:szCs w:val="24"/>
        </w:rPr>
        <w:t>. Il 1° Libro delle Cronache vi fa cenno quando dice:</w:t>
      </w:r>
      <w:r w:rsidR="006D346B">
        <w:rPr>
          <w:rFonts w:ascii="Times New Roman" w:hAnsi="Times New Roman"/>
          <w:szCs w:val="24"/>
        </w:rPr>
        <w:t xml:space="preserve"> </w:t>
      </w:r>
      <w:r>
        <w:rPr>
          <w:rFonts w:ascii="Times New Roman" w:hAnsi="Times New Roman"/>
          <w:szCs w:val="24"/>
        </w:rPr>
        <w:t>«</w:t>
      </w:r>
      <w:r>
        <w:rPr>
          <w:rFonts w:ascii="Times New Roman" w:hAnsi="Times New Roman"/>
          <w:i/>
          <w:szCs w:val="24"/>
        </w:rPr>
        <w:t xml:space="preserve">Le gesta del re Davide, dalle prime alle ultime, sono descritte nei </w:t>
      </w:r>
      <w:r>
        <w:rPr>
          <w:rFonts w:ascii="Times New Roman" w:hAnsi="Times New Roman"/>
          <w:b/>
          <w:i/>
          <w:szCs w:val="24"/>
        </w:rPr>
        <w:t>libri del veggente Samuele</w:t>
      </w:r>
      <w:r>
        <w:rPr>
          <w:rFonts w:ascii="Times New Roman" w:hAnsi="Times New Roman"/>
          <w:i/>
          <w:szCs w:val="24"/>
        </w:rPr>
        <w:t xml:space="preserve">, nel </w:t>
      </w:r>
      <w:r>
        <w:rPr>
          <w:rFonts w:ascii="Times New Roman" w:hAnsi="Times New Roman"/>
          <w:b/>
          <w:i/>
          <w:szCs w:val="24"/>
        </w:rPr>
        <w:t>libro del profeta Natan</w:t>
      </w:r>
      <w:r>
        <w:rPr>
          <w:rFonts w:ascii="Times New Roman" w:hAnsi="Times New Roman"/>
          <w:i/>
          <w:szCs w:val="24"/>
        </w:rPr>
        <w:t xml:space="preserve"> e nel</w:t>
      </w:r>
      <w:r>
        <w:rPr>
          <w:rFonts w:ascii="Times New Roman" w:hAnsi="Times New Roman"/>
          <w:b/>
          <w:i/>
          <w:szCs w:val="24"/>
        </w:rPr>
        <w:t xml:space="preserve"> libro del veggente Gad</w:t>
      </w:r>
      <w:r>
        <w:rPr>
          <w:rFonts w:ascii="Times New Roman" w:hAnsi="Times New Roman"/>
          <w:i/>
          <w:szCs w:val="24"/>
        </w:rPr>
        <w:t>, con tutta la storia del suo regno, della sua potenza e di quanto in quei tempi accadde a lui, a Israele e a tutti i regni del mondo</w:t>
      </w:r>
      <w:r>
        <w:rPr>
          <w:rFonts w:ascii="Times New Roman" w:hAnsi="Times New Roman"/>
          <w:szCs w:val="24"/>
        </w:rPr>
        <w:t xml:space="preserve">» (1 Cr 29,29). A questi documenti  furono aggiunte le cronache dell’archivio di corte di Gerusalemme. La redazione finale vide la luce dopo la caduta del regno del Nord (721), al tempo di Giosia (640-609), quando tutta la storia precedente fu giudicata, secondo il criterio morale del Deuteronomio, sulla </w:t>
      </w:r>
      <w:r>
        <w:rPr>
          <w:rFonts w:ascii="Times New Roman" w:hAnsi="Times New Roman"/>
          <w:b/>
          <w:szCs w:val="24"/>
        </w:rPr>
        <w:t>fedeltà o infedeltà all’Alleanza con Dio</w:t>
      </w:r>
      <w:r>
        <w:rPr>
          <w:rFonts w:ascii="Times New Roman" w:hAnsi="Times New Roman"/>
          <w:szCs w:val="24"/>
        </w:rPr>
        <w:t xml:space="preserve">.   </w:t>
      </w:r>
    </w:p>
    <w:p w:rsidR="00ED02CA" w:rsidRDefault="00E33DB3" w:rsidP="007F37C6">
      <w:pPr>
        <w:jc w:val="both"/>
        <w:rPr>
          <w:rFonts w:ascii="Times New Roman" w:hAnsi="Times New Roman"/>
          <w:szCs w:val="24"/>
        </w:rPr>
      </w:pPr>
      <w:r>
        <w:rPr>
          <w:noProof/>
        </w:rPr>
        <w:drawing>
          <wp:anchor distT="0" distB="0" distL="114300" distR="114300" simplePos="0" relativeHeight="251600896" behindDoc="0" locked="0" layoutInCell="1" allowOverlap="1">
            <wp:simplePos x="0" y="0"/>
            <wp:positionH relativeFrom="margin">
              <wp:posOffset>0</wp:posOffset>
            </wp:positionH>
            <wp:positionV relativeFrom="margin">
              <wp:posOffset>6309995</wp:posOffset>
            </wp:positionV>
            <wp:extent cx="2205355" cy="1885950"/>
            <wp:effectExtent l="19050" t="0" r="4445" b="0"/>
            <wp:wrapSquare wrapText="bothSides"/>
            <wp:docPr id="120" name="Immagine 116" descr="VictorsAnnaConsegnaSamue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6" descr="VictorsAnnaConsegnaSamuele1"/>
                    <pic:cNvPicPr>
                      <a:picLocks noChangeAspect="1" noChangeArrowheads="1"/>
                    </pic:cNvPicPr>
                  </pic:nvPicPr>
                  <pic:blipFill>
                    <a:blip r:embed="rId19">
                      <a:lum bright="20000"/>
                    </a:blip>
                    <a:srcRect/>
                    <a:stretch>
                      <a:fillRect/>
                    </a:stretch>
                  </pic:blipFill>
                  <pic:spPr bwMode="auto">
                    <a:xfrm>
                      <a:off x="0" y="0"/>
                      <a:ext cx="2205355" cy="1885950"/>
                    </a:xfrm>
                    <a:prstGeom prst="rect">
                      <a:avLst/>
                    </a:prstGeom>
                    <a:noFill/>
                  </pic:spPr>
                </pic:pic>
              </a:graphicData>
            </a:graphic>
          </wp:anchor>
        </w:drawing>
      </w:r>
    </w:p>
    <w:p w:rsidR="009D06C7" w:rsidRDefault="00ED02CA" w:rsidP="007F37C6">
      <w:pPr>
        <w:ind w:firstLine="708"/>
        <w:jc w:val="both"/>
        <w:rPr>
          <w:rFonts w:ascii="Times New Roman" w:hAnsi="Times New Roman"/>
          <w:szCs w:val="24"/>
        </w:rPr>
      </w:pPr>
      <w:r>
        <w:rPr>
          <w:rFonts w:ascii="Times New Roman" w:hAnsi="Times New Roman"/>
          <w:b/>
          <w:szCs w:val="24"/>
        </w:rPr>
        <w:t>Il valore storico dei libri</w:t>
      </w:r>
      <w:r>
        <w:rPr>
          <w:rFonts w:ascii="Times New Roman" w:hAnsi="Times New Roman"/>
          <w:szCs w:val="24"/>
        </w:rPr>
        <w:t xml:space="preserve"> va valutato tenendo conto da una parte dello stile laudatorio della </w:t>
      </w:r>
      <w:r>
        <w:rPr>
          <w:rFonts w:ascii="Times New Roman" w:hAnsi="Times New Roman"/>
          <w:b/>
          <w:szCs w:val="24"/>
        </w:rPr>
        <w:t>letteratura aulica</w:t>
      </w:r>
      <w:r>
        <w:rPr>
          <w:rFonts w:ascii="Times New Roman" w:hAnsi="Times New Roman"/>
          <w:szCs w:val="24"/>
        </w:rPr>
        <w:t xml:space="preserve"> dell’oriente antico, e dall’altra tenendo presente  il correttivo dell’</w:t>
      </w:r>
      <w:r>
        <w:rPr>
          <w:rFonts w:ascii="Times New Roman" w:hAnsi="Times New Roman"/>
          <w:b/>
          <w:szCs w:val="24"/>
        </w:rPr>
        <w:t>obbiettività di cronaca e di giudizio</w:t>
      </w:r>
      <w:r>
        <w:rPr>
          <w:rFonts w:ascii="Times New Roman" w:hAnsi="Times New Roman"/>
          <w:szCs w:val="24"/>
        </w:rPr>
        <w:t xml:space="preserve"> morale propria degli ebrei. Questi non hanno fatto sconti ai loro sovrani, li hanno giudicati sempre con severità senza piaggerie e </w:t>
      </w:r>
    </w:p>
    <w:p w:rsidR="00ED02CA" w:rsidRPr="00E06D2B" w:rsidRDefault="00ED02CA" w:rsidP="009D06C7">
      <w:pPr>
        <w:pStyle w:val="Didascalia"/>
        <w:rPr>
          <w:rFonts w:ascii="Times New Roman" w:hAnsi="Times New Roman"/>
          <w:b w:val="0"/>
          <w:bCs w:val="0"/>
          <w:color w:val="auto"/>
          <w:sz w:val="24"/>
          <w:szCs w:val="24"/>
        </w:rPr>
      </w:pPr>
      <w:r w:rsidRPr="009D06C7">
        <w:rPr>
          <w:rFonts w:ascii="Times New Roman" w:hAnsi="Times New Roman"/>
          <w:b w:val="0"/>
          <w:bCs w:val="0"/>
          <w:color w:val="auto"/>
          <w:sz w:val="24"/>
          <w:szCs w:val="24"/>
        </w:rPr>
        <w:t>servilismi. L’aderenza storica riguardante l’ambiente, le persone, le istituzioni trovano poi conferma dalle scoperte</w:t>
      </w:r>
      <w:r>
        <w:rPr>
          <w:rFonts w:ascii="Times New Roman" w:hAnsi="Times New Roman"/>
          <w:b w:val="0"/>
          <w:szCs w:val="24"/>
        </w:rPr>
        <w:t xml:space="preserve"> </w:t>
      </w:r>
      <w:r w:rsidRPr="00E06D2B">
        <w:rPr>
          <w:rFonts w:ascii="Times New Roman" w:hAnsi="Times New Roman"/>
          <w:b w:val="0"/>
          <w:bCs w:val="0"/>
          <w:color w:val="auto"/>
          <w:sz w:val="24"/>
          <w:szCs w:val="24"/>
        </w:rPr>
        <w:t xml:space="preserve">archeologiche. L’ambiente descritto è quello dei secoli 12° e </w:t>
      </w:r>
    </w:p>
    <w:p w:rsidR="00ED02CA" w:rsidRDefault="00C4085C" w:rsidP="007F37C6">
      <w:pPr>
        <w:jc w:val="both"/>
        <w:rPr>
          <w:rFonts w:ascii="Times New Roman" w:hAnsi="Times New Roman"/>
          <w:szCs w:val="24"/>
        </w:rPr>
      </w:pPr>
      <w:r w:rsidRPr="00C4085C">
        <w:rPr>
          <w:noProof/>
        </w:rPr>
        <w:pict>
          <v:shape id="_x0000_s1145" type="#_x0000_t202" style="position:absolute;left:0;text-align:left;margin-left:-182.65pt;margin-top:.9pt;width:168.85pt;height:12pt;z-index:251713536" stroked="f">
            <v:textbox style="mso-next-textbox:#_x0000_s1145" inset="0,0,0,0">
              <w:txbxContent>
                <w:p w:rsidR="00AC06D4" w:rsidRDefault="00AC06D4" w:rsidP="00E06D2B">
                  <w:pPr>
                    <w:pStyle w:val="Didascalia"/>
                  </w:pPr>
                  <w:r>
                    <w:t xml:space="preserve">        Anna offre il piccolo Samuele a Eli</w:t>
                  </w:r>
                </w:p>
                <w:p w:rsidR="00AC06D4" w:rsidRPr="009D06C7" w:rsidRDefault="00AC06D4" w:rsidP="009D06C7">
                  <w:pPr>
                    <w:rPr>
                      <w:szCs w:val="24"/>
                    </w:rPr>
                  </w:pPr>
                </w:p>
              </w:txbxContent>
            </v:textbox>
            <w10:wrap type="square"/>
          </v:shape>
        </w:pict>
      </w:r>
      <w:r w:rsidR="00ED02CA">
        <w:rPr>
          <w:rFonts w:ascii="Times New Roman" w:hAnsi="Times New Roman"/>
          <w:szCs w:val="24"/>
        </w:rPr>
        <w:t xml:space="preserve">10° (dal 1100 al 970  a. C.), quello degli </w:t>
      </w:r>
      <w:r w:rsidR="00ED02CA">
        <w:rPr>
          <w:rFonts w:ascii="Times New Roman" w:hAnsi="Times New Roman"/>
          <w:b/>
          <w:szCs w:val="24"/>
        </w:rPr>
        <w:t>inizi dell’età del ferro</w:t>
      </w:r>
      <w:r w:rsidR="00ED02CA">
        <w:rPr>
          <w:rFonts w:ascii="Times New Roman" w:hAnsi="Times New Roman"/>
          <w:szCs w:val="24"/>
        </w:rPr>
        <w:t xml:space="preserve">, quando </w:t>
      </w:r>
      <w:r w:rsidR="00ED02CA">
        <w:rPr>
          <w:rFonts w:ascii="Times New Roman" w:hAnsi="Times New Roman"/>
          <w:b/>
          <w:szCs w:val="24"/>
        </w:rPr>
        <w:t xml:space="preserve">i grandi imperi </w:t>
      </w:r>
      <w:r w:rsidR="00ED02CA">
        <w:rPr>
          <w:rFonts w:ascii="Times New Roman" w:hAnsi="Times New Roman"/>
          <w:szCs w:val="24"/>
        </w:rPr>
        <w:t xml:space="preserve">di Mesopotamia e d’Egitto si erano ripiegati su se stessi; l’Egitto era impegnato a fermare </w:t>
      </w:r>
      <w:r w:rsidR="00ED02CA">
        <w:rPr>
          <w:rFonts w:ascii="Times New Roman" w:hAnsi="Times New Roman"/>
          <w:b/>
          <w:szCs w:val="24"/>
        </w:rPr>
        <w:t>l’invasione dei popoli del Mare</w:t>
      </w:r>
      <w:r w:rsidR="00ED02CA">
        <w:rPr>
          <w:rFonts w:ascii="Times New Roman" w:hAnsi="Times New Roman"/>
          <w:szCs w:val="24"/>
        </w:rPr>
        <w:t xml:space="preserve">; i regni mesopotamici erano divisi e sotto la pressione dell’invasione degli </w:t>
      </w:r>
      <w:r w:rsidR="00ED02CA">
        <w:rPr>
          <w:rFonts w:ascii="Times New Roman" w:hAnsi="Times New Roman"/>
          <w:b/>
          <w:szCs w:val="24"/>
        </w:rPr>
        <w:t>Hittiti,</w:t>
      </w:r>
      <w:r w:rsidR="00ED02CA">
        <w:rPr>
          <w:rFonts w:ascii="Times New Roman" w:hAnsi="Times New Roman"/>
          <w:szCs w:val="24"/>
        </w:rPr>
        <w:t xml:space="preserve"> che scendevano dalla T</w:t>
      </w:r>
      <w:r w:rsidR="006D346B">
        <w:rPr>
          <w:rFonts w:ascii="Times New Roman" w:hAnsi="Times New Roman"/>
          <w:szCs w:val="24"/>
        </w:rPr>
        <w:t>u</w:t>
      </w:r>
      <w:r w:rsidR="00ED02CA">
        <w:rPr>
          <w:rFonts w:ascii="Times New Roman" w:hAnsi="Times New Roman"/>
          <w:szCs w:val="24"/>
        </w:rPr>
        <w:t xml:space="preserve">rchia. L’impero Assiro fu inattivo </w:t>
      </w:r>
      <w:r w:rsidR="00ED02CA">
        <w:rPr>
          <w:rFonts w:ascii="Times New Roman" w:hAnsi="Times New Roman"/>
          <w:szCs w:val="24"/>
        </w:rPr>
        <w:lastRenderedPageBreak/>
        <w:t>fino al sec 9°, quando iniziò a risvegliarsi con Salmanassar III (858-824). In questo letargo internazionale Israele ebbe il suo spazio di indipendenza e di libertà che gli consentì di prosperare.</w:t>
      </w:r>
    </w:p>
    <w:p w:rsidR="00ED02CA" w:rsidRDefault="00ED02CA" w:rsidP="007F37C6">
      <w:pPr>
        <w:jc w:val="both"/>
        <w:rPr>
          <w:rFonts w:ascii="Times New Roman" w:hAnsi="Times New Roman"/>
          <w:szCs w:val="24"/>
        </w:rPr>
      </w:pPr>
    </w:p>
    <w:p w:rsidR="00ED02CA" w:rsidRDefault="00C4085C" w:rsidP="007F37C6">
      <w:pPr>
        <w:ind w:firstLine="708"/>
        <w:jc w:val="both"/>
        <w:rPr>
          <w:rFonts w:ascii="Times New Roman" w:hAnsi="Times New Roman"/>
          <w:szCs w:val="24"/>
        </w:rPr>
      </w:pPr>
      <w:r w:rsidRPr="00C4085C">
        <w:rPr>
          <w:noProof/>
        </w:rPr>
        <w:pict>
          <v:shape id="_x0000_s1146" type="#_x0000_t202" style="position:absolute;left:0;text-align:left;margin-left:301.15pt;margin-top:86.45pt;width:175.9pt;height:13.55pt;z-index:251609088" stroked="f">
            <v:textbox style="mso-next-textbox:#_x0000_s1146" inset="0,0,0,0">
              <w:txbxContent>
                <w:p w:rsidR="00AC06D4" w:rsidRPr="00253A37" w:rsidRDefault="00AC06D4" w:rsidP="00956A0C">
                  <w:pPr>
                    <w:pStyle w:val="Didascalia"/>
                    <w:jc w:val="center"/>
                  </w:pPr>
                  <w:r>
                    <w:t>Eli e il piccolo Samuele</w:t>
                  </w:r>
                </w:p>
              </w:txbxContent>
            </v:textbox>
            <w10:wrap type="square"/>
          </v:shape>
        </w:pict>
      </w:r>
      <w:r w:rsidR="00ED02CA">
        <w:rPr>
          <w:rFonts w:ascii="Times New Roman" w:hAnsi="Times New Roman"/>
          <w:szCs w:val="24"/>
        </w:rPr>
        <w:t xml:space="preserve">Fu in questo clima di sicurezza internazionale che nacque l’idea della monarchia come esigenza di unità nazionale sull’esempio delle nazioni vicine. Capo spirituale politico era allora </w:t>
      </w:r>
      <w:r w:rsidR="00ED02CA">
        <w:rPr>
          <w:rFonts w:ascii="Times New Roman" w:hAnsi="Times New Roman"/>
          <w:b/>
          <w:szCs w:val="24"/>
        </w:rPr>
        <w:t>Samuele,</w:t>
      </w:r>
      <w:r w:rsidR="00ED02CA">
        <w:rPr>
          <w:rFonts w:ascii="Times New Roman" w:hAnsi="Times New Roman"/>
          <w:szCs w:val="24"/>
        </w:rPr>
        <w:t xml:space="preserve"> nato da popolani molto religiosi, Elkana e Anna, che, dopo averlo impetrato come un dono di Dio, </w:t>
      </w:r>
      <w:r w:rsidR="00ED02CA">
        <w:rPr>
          <w:rFonts w:ascii="Times New Roman" w:hAnsi="Times New Roman"/>
          <w:b/>
          <w:szCs w:val="24"/>
        </w:rPr>
        <w:t>lo offrirono  quale oblato</w:t>
      </w:r>
      <w:r w:rsidR="00ED02CA">
        <w:rPr>
          <w:rFonts w:ascii="Times New Roman" w:hAnsi="Times New Roman"/>
          <w:szCs w:val="24"/>
        </w:rPr>
        <w:t xml:space="preserve"> al tempio di Silo dove officiava il Sommo Sacerdote Eli. Il primo libro di Samuele inizia proprio con la sua storia: la nascita implorata da sua madre Anna con calde lacrime da Dio, l’assicurazione di Eli, la nascita e l’offerta del bambino a Dio per il servizio del tempio (1Sam 1,1-28). In quell’occasione, Anna, sua madre, compose </w:t>
      </w:r>
      <w:r w:rsidR="00ED02CA">
        <w:rPr>
          <w:rFonts w:ascii="Times New Roman" w:hAnsi="Times New Roman"/>
          <w:b/>
          <w:szCs w:val="24"/>
        </w:rPr>
        <w:t>un bellissimo canto</w:t>
      </w:r>
      <w:r w:rsidR="00ED02CA">
        <w:rPr>
          <w:rFonts w:ascii="Times New Roman" w:hAnsi="Times New Roman"/>
          <w:szCs w:val="24"/>
        </w:rPr>
        <w:t xml:space="preserve">, al quale si ispirerà, dopo mille anni ″il Magnificat″ di Maria (1Sam 2,1-10).  Qui a Silo il ragazzo ricevette </w:t>
      </w:r>
      <w:r w:rsidR="00ED02CA">
        <w:rPr>
          <w:rFonts w:ascii="Times New Roman" w:hAnsi="Times New Roman"/>
          <w:b/>
          <w:szCs w:val="24"/>
        </w:rPr>
        <w:t>la chiamata a profeta</w:t>
      </w:r>
      <w:r w:rsidR="00ED02CA">
        <w:rPr>
          <w:rFonts w:ascii="Times New Roman" w:hAnsi="Times New Roman"/>
          <w:szCs w:val="24"/>
        </w:rPr>
        <w:t xml:space="preserve"> direttamente da Dio durante la notte: «</w:t>
      </w:r>
      <w:r w:rsidR="00ED02CA">
        <w:rPr>
          <w:rFonts w:ascii="Times New Roman" w:hAnsi="Times New Roman"/>
          <w:i/>
          <w:szCs w:val="24"/>
        </w:rPr>
        <w:t>Venne il Signore, stette accanto a lui e lo chiamò come le altre (tre) volte: ″Samuele, Samuele″. Samuele rispose subito: Parla, perché il tuo servo ti ascolta″. Allora il Signore disse a Samuele: ″Ecco io sto per fare in Israele una cosa che risuonerà negli orecchi di chiunque l’udrà. In quel giorno io compirò contro Eli quanto ho pronunciato</w:t>
      </w:r>
      <w:r w:rsidR="00ED02CA">
        <w:rPr>
          <w:rFonts w:ascii="Times New Roman" w:hAnsi="Times New Roman"/>
          <w:szCs w:val="24"/>
        </w:rPr>
        <w:t>» (1Sam 3,10-12). Dopo la morte di Eli egli divenne sacerdote e giudice in Silo: «</w:t>
      </w:r>
      <w:r w:rsidR="00ED02CA">
        <w:rPr>
          <w:rFonts w:ascii="Times New Roman" w:hAnsi="Times New Roman"/>
          <w:i/>
          <w:szCs w:val="24"/>
        </w:rPr>
        <w:t>Samuele crebbe e il Signore fu con lui, né lasciò andare a vuoto una sola delle sue parole. Perciò tutto Israele, da Dan fino a Bersabea, seppe che Samuele era stato c</w:t>
      </w:r>
      <w:r w:rsidR="006D346B">
        <w:rPr>
          <w:rFonts w:ascii="Times New Roman" w:hAnsi="Times New Roman"/>
          <w:i/>
          <w:szCs w:val="24"/>
        </w:rPr>
        <w:t xml:space="preserve">ostituito profeta </w:t>
      </w:r>
      <w:r w:rsidR="00ED02CA">
        <w:rPr>
          <w:rFonts w:ascii="Times New Roman" w:hAnsi="Times New Roman"/>
          <w:i/>
          <w:szCs w:val="24"/>
        </w:rPr>
        <w:t>del Signore. Il Signore continuò ad apparire a Silo, perché il Signore si rivelava a Samuele a Silo con la sua parola</w:t>
      </w:r>
      <w:r w:rsidR="00ED02CA">
        <w:rPr>
          <w:rFonts w:ascii="Times New Roman" w:hAnsi="Times New Roman"/>
          <w:szCs w:val="24"/>
        </w:rPr>
        <w:t>» (1Sam 3,19-21).</w:t>
      </w:r>
    </w:p>
    <w:p w:rsidR="00ED02CA" w:rsidRDefault="00ED02CA" w:rsidP="007F37C6">
      <w:pPr>
        <w:autoSpaceDE w:val="0"/>
        <w:autoSpaceDN w:val="0"/>
        <w:adjustRightInd w:val="0"/>
        <w:ind w:firstLine="225"/>
        <w:jc w:val="both"/>
        <w:rPr>
          <w:rFonts w:ascii="Times New Roman" w:hAnsi="Times New Roman"/>
          <w:szCs w:val="24"/>
        </w:rPr>
      </w:pPr>
    </w:p>
    <w:p w:rsidR="00ED02CA" w:rsidRDefault="00ED02CA" w:rsidP="007F37C6">
      <w:pPr>
        <w:autoSpaceDE w:val="0"/>
        <w:autoSpaceDN w:val="0"/>
        <w:adjustRightInd w:val="0"/>
        <w:ind w:firstLine="708"/>
        <w:jc w:val="both"/>
        <w:rPr>
          <w:rFonts w:ascii="Times New Roman" w:hAnsi="Times New Roman"/>
          <w:color w:val="000000"/>
          <w:szCs w:val="24"/>
        </w:rPr>
      </w:pPr>
      <w:r>
        <w:rPr>
          <w:rFonts w:ascii="Times New Roman" w:hAnsi="Times New Roman"/>
          <w:szCs w:val="24"/>
        </w:rPr>
        <w:t>Intanto imperversava la guerra tra Israele e i Filistei con alterne vicende. Gli ebrei si convinsero di aver bisogno di un re che riunisse la nazione e combattesse per essa. «</w:t>
      </w:r>
      <w:r>
        <w:rPr>
          <w:rFonts w:ascii="Times New Roman" w:hAnsi="Times New Roman"/>
          <w:i/>
          <w:color w:val="000000"/>
        </w:rPr>
        <w:t>Si radunarono allora tutti</w:t>
      </w:r>
      <w:r>
        <w:rPr>
          <w:rFonts w:ascii="Times New Roman" w:hAnsi="Times New Roman"/>
          <w:b/>
          <w:i/>
          <w:color w:val="000000"/>
        </w:rPr>
        <w:t xml:space="preserve"> gli anziani d’Israele</w:t>
      </w:r>
      <w:r>
        <w:rPr>
          <w:rFonts w:ascii="Times New Roman" w:hAnsi="Times New Roman"/>
          <w:i/>
          <w:color w:val="000000"/>
        </w:rPr>
        <w:t xml:space="preserve"> e vennero da Samuele </w:t>
      </w:r>
      <w:r>
        <w:rPr>
          <w:rFonts w:ascii="Times New Roman" w:hAnsi="Times New Roman"/>
          <w:b/>
          <w:i/>
          <w:color w:val="000000"/>
        </w:rPr>
        <w:t>a Rama</w:t>
      </w:r>
      <w:r>
        <w:rPr>
          <w:rFonts w:ascii="Times New Roman" w:hAnsi="Times New Roman"/>
          <w:i/>
          <w:color w:val="000000"/>
        </w:rPr>
        <w:t xml:space="preserve">. Gli dissero: «Tu ormai sei vecchio e i tuoi figli non camminano sulle tue orme. </w:t>
      </w:r>
      <w:r>
        <w:rPr>
          <w:rFonts w:ascii="Times New Roman" w:hAnsi="Times New Roman"/>
          <w:b/>
          <w:i/>
          <w:color w:val="000000"/>
        </w:rPr>
        <w:t xml:space="preserve">Stabilisci quindi per noi un re </w:t>
      </w:r>
      <w:r>
        <w:rPr>
          <w:rFonts w:ascii="Times New Roman" w:hAnsi="Times New Roman"/>
          <w:i/>
          <w:color w:val="000000"/>
        </w:rPr>
        <w:t xml:space="preserve"> che sia nostro giudice, come avviene per tutti i popoli». Agli occhi di Samuele la proposta </w:t>
      </w:r>
      <w:r>
        <w:rPr>
          <w:rFonts w:ascii="Times New Roman" w:hAnsi="Times New Roman"/>
          <w:b/>
          <w:i/>
          <w:color w:val="000000"/>
        </w:rPr>
        <w:t>dispiacque</w:t>
      </w:r>
      <w:r>
        <w:rPr>
          <w:rFonts w:ascii="Times New Roman" w:hAnsi="Times New Roman"/>
          <w:i/>
          <w:color w:val="000000"/>
        </w:rPr>
        <w:t>, perché avevano detto: «Dacci un re che sia nostro giudice». Perciò Samuele pregò il Signore. Il Signore disse a Samuele: «</w:t>
      </w:r>
      <w:r>
        <w:rPr>
          <w:rFonts w:ascii="Times New Roman" w:hAnsi="Times New Roman"/>
          <w:b/>
          <w:i/>
          <w:color w:val="000000"/>
        </w:rPr>
        <w:t>Ascolta la voce del popolo</w:t>
      </w:r>
      <w:r>
        <w:rPr>
          <w:rFonts w:ascii="Times New Roman" w:hAnsi="Times New Roman"/>
          <w:i/>
          <w:color w:val="000000"/>
        </w:rPr>
        <w:t>, qualunque cosa ti dicano, perché non hanno rigettato te, ma</w:t>
      </w:r>
      <w:r>
        <w:rPr>
          <w:rFonts w:ascii="Times New Roman" w:hAnsi="Times New Roman"/>
          <w:b/>
          <w:i/>
          <w:color w:val="000000"/>
        </w:rPr>
        <w:t xml:space="preserve"> hanno rigettato me , perché io non regni più su di loro</w:t>
      </w:r>
      <w:r>
        <w:rPr>
          <w:rFonts w:ascii="Times New Roman" w:hAnsi="Times New Roman"/>
          <w:i/>
          <w:color w:val="000000"/>
        </w:rPr>
        <w:t xml:space="preserve">.  Come hanno fatto dal giorno in cui li ho fatti salire dall’Egitto fino ad oggi, abbandonando me per seguire altri dèi, così stanno facendo anche a te.  Ascolta pure la loro richiesta, però </w:t>
      </w:r>
      <w:r>
        <w:rPr>
          <w:rFonts w:ascii="Times New Roman" w:hAnsi="Times New Roman"/>
          <w:b/>
          <w:i/>
          <w:color w:val="000000"/>
        </w:rPr>
        <w:t xml:space="preserve">ammoniscili </w:t>
      </w:r>
      <w:r w:rsidR="00E33DB3">
        <w:rPr>
          <w:noProof/>
        </w:rPr>
        <w:drawing>
          <wp:anchor distT="0" distB="0" distL="114300" distR="114300" simplePos="0" relativeHeight="251604992" behindDoc="0" locked="0" layoutInCell="1" allowOverlap="1">
            <wp:simplePos x="0" y="0"/>
            <wp:positionH relativeFrom="margin">
              <wp:align>right</wp:align>
            </wp:positionH>
            <wp:positionV relativeFrom="margin">
              <wp:align>top</wp:align>
            </wp:positionV>
            <wp:extent cx="2233930" cy="1623695"/>
            <wp:effectExtent l="19050" t="0" r="0" b="0"/>
            <wp:wrapSquare wrapText="bothSides"/>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srcRect/>
                    <a:stretch>
                      <a:fillRect/>
                    </a:stretch>
                  </pic:blipFill>
                  <pic:spPr bwMode="auto">
                    <a:xfrm>
                      <a:off x="0" y="0"/>
                      <a:ext cx="2233930" cy="1623695"/>
                    </a:xfrm>
                    <a:prstGeom prst="rect">
                      <a:avLst/>
                    </a:prstGeom>
                    <a:noFill/>
                  </pic:spPr>
                </pic:pic>
              </a:graphicData>
            </a:graphic>
          </wp:anchor>
        </w:drawing>
      </w:r>
      <w:r>
        <w:rPr>
          <w:rFonts w:ascii="Times New Roman" w:hAnsi="Times New Roman"/>
          <w:b/>
          <w:i/>
          <w:color w:val="000000"/>
        </w:rPr>
        <w:t>chiaramente e annuncia loro il diritto del re che regnerà su di loro</w:t>
      </w:r>
      <w:r>
        <w:rPr>
          <w:rFonts w:ascii="Times New Roman" w:hAnsi="Times New Roman"/>
          <w:b/>
          <w:i/>
          <w:color w:val="000000"/>
          <w:szCs w:val="24"/>
        </w:rPr>
        <w:t>»</w:t>
      </w:r>
      <w:r>
        <w:rPr>
          <w:rFonts w:ascii="Times New Roman" w:hAnsi="Times New Roman"/>
          <w:color w:val="000000"/>
          <w:szCs w:val="24"/>
        </w:rPr>
        <w:t xml:space="preserve"> (1Sam 8,4-9).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Restò sempre in Samuele e nei circoli profetici una </w:t>
      </w:r>
      <w:r>
        <w:rPr>
          <w:rFonts w:ascii="Times New Roman" w:hAnsi="Times New Roman"/>
          <w:b/>
          <w:color w:val="000000"/>
          <w:szCs w:val="24"/>
        </w:rPr>
        <w:t>corrente antimonarchica</w:t>
      </w:r>
      <w:r>
        <w:rPr>
          <w:rFonts w:ascii="Times New Roman" w:hAnsi="Times New Roman"/>
          <w:color w:val="000000"/>
          <w:szCs w:val="24"/>
        </w:rPr>
        <w:t xml:space="preserve"> per ragioni religiose: sembrava loro che il re </w:t>
      </w:r>
      <w:r>
        <w:rPr>
          <w:rFonts w:ascii="Times New Roman" w:hAnsi="Times New Roman"/>
          <w:b/>
          <w:color w:val="000000"/>
          <w:szCs w:val="24"/>
        </w:rPr>
        <w:t>usurpasse le prerogative regali di Dio</w:t>
      </w:r>
      <w:r>
        <w:rPr>
          <w:rFonts w:ascii="Times New Roman" w:hAnsi="Times New Roman"/>
          <w:color w:val="000000"/>
          <w:szCs w:val="24"/>
        </w:rPr>
        <w:t xml:space="preserve"> e portasse il popolo lontano da Lui. Ciò </w:t>
      </w:r>
      <w:r>
        <w:rPr>
          <w:rFonts w:ascii="Times New Roman" w:hAnsi="Times New Roman"/>
          <w:b/>
          <w:color w:val="000000"/>
          <w:szCs w:val="24"/>
        </w:rPr>
        <w:t>accadde spesso nella storia d’Israele</w:t>
      </w:r>
      <w:r>
        <w:rPr>
          <w:rFonts w:ascii="Times New Roman" w:hAnsi="Times New Roman"/>
          <w:color w:val="000000"/>
          <w:szCs w:val="24"/>
        </w:rPr>
        <w:t xml:space="preserve">. Prima che l’istituzione monarchica divenisse ereditaria era </w:t>
      </w:r>
      <w:r>
        <w:rPr>
          <w:rFonts w:ascii="Times New Roman" w:hAnsi="Times New Roman"/>
          <w:b/>
          <w:color w:val="000000"/>
          <w:szCs w:val="24"/>
        </w:rPr>
        <w:t>Dio stesso a scegliere direttamente il re</w:t>
      </w:r>
      <w:r>
        <w:rPr>
          <w:rFonts w:ascii="Times New Roman" w:hAnsi="Times New Roman"/>
          <w:color w:val="000000"/>
          <w:szCs w:val="24"/>
        </w:rPr>
        <w:t xml:space="preserve"> come suo rappresentante e strumento del suo governo. Così fece con </w:t>
      </w:r>
      <w:r>
        <w:rPr>
          <w:rFonts w:ascii="Times New Roman" w:hAnsi="Times New Roman"/>
          <w:b/>
          <w:color w:val="000000"/>
          <w:szCs w:val="24"/>
        </w:rPr>
        <w:t>Saul</w:t>
      </w:r>
      <w:r>
        <w:rPr>
          <w:rFonts w:ascii="Times New Roman" w:hAnsi="Times New Roman"/>
          <w:color w:val="000000"/>
          <w:szCs w:val="24"/>
        </w:rPr>
        <w:t xml:space="preserve"> e con </w:t>
      </w:r>
      <w:r>
        <w:rPr>
          <w:rFonts w:ascii="Times New Roman" w:hAnsi="Times New Roman"/>
          <w:b/>
          <w:color w:val="000000"/>
          <w:szCs w:val="24"/>
        </w:rPr>
        <w:t>Davide</w:t>
      </w:r>
      <w:r>
        <w:rPr>
          <w:rFonts w:ascii="Times New Roman" w:hAnsi="Times New Roman"/>
          <w:color w:val="000000"/>
          <w:szCs w:val="24"/>
        </w:rPr>
        <w:t xml:space="preserve">. Fu Samuele a trovare Saul, un contadino allevatore di asini, robusto e forte; lo unse re in privato e poi lo presentò così alla grande adunata di tribù a Mispa:  </w:t>
      </w:r>
    </w:p>
    <w:p w:rsidR="00ED02CA" w:rsidRDefault="00ED02CA" w:rsidP="007F37C6">
      <w:pPr>
        <w:jc w:val="both"/>
        <w:rPr>
          <w:rFonts w:ascii="Times New Roman" w:hAnsi="Times New Roman"/>
          <w:color w:val="000000"/>
          <w:szCs w:val="24"/>
        </w:rPr>
      </w:pPr>
      <w:r>
        <w:rPr>
          <w:rFonts w:ascii="Times New Roman" w:hAnsi="Times New Roman"/>
          <w:i/>
          <w:color w:val="000000"/>
          <w:szCs w:val="24"/>
        </w:rPr>
        <w:t>«</w:t>
      </w:r>
      <w:r>
        <w:rPr>
          <w:rFonts w:ascii="Times New Roman" w:hAnsi="Times New Roman"/>
          <w:i/>
          <w:color w:val="000000"/>
        </w:rPr>
        <w:t xml:space="preserve"> Samuele convocò i</w:t>
      </w:r>
      <w:r w:rsidR="006D346B">
        <w:rPr>
          <w:rFonts w:ascii="Times New Roman" w:hAnsi="Times New Roman"/>
          <w:i/>
          <w:color w:val="000000"/>
        </w:rPr>
        <w:t>l popolo davanti a Dio a Mispa</w:t>
      </w:r>
      <w:r>
        <w:rPr>
          <w:rFonts w:ascii="Times New Roman" w:hAnsi="Times New Roman"/>
          <w:i/>
          <w:color w:val="000000"/>
        </w:rPr>
        <w:t xml:space="preserve"> e disse agli Israeliti: ″Dice il Signore, Dio d’Israele: Io ho fatto salire  Israele dall’Egitto e l’ho liberato dalla mano degli Egiziani e dalla mano di tutti i regni che vi affliggevano.  Ma voi oggi avete ripudiato il vostro Dio, il quale solo vi salva da tutti i vostri mali e da tutte le tribolazioni. E gli avete detto: “Costituisci un re sopra di noi!”. Ora mettetevi davanti a Dio distinti per tribù e per casati». Samuele fece accostare  ogni tribù d’Israele e </w:t>
      </w:r>
      <w:r>
        <w:rPr>
          <w:rFonts w:ascii="Times New Roman" w:hAnsi="Times New Roman"/>
          <w:b/>
          <w:i/>
          <w:color w:val="000000"/>
        </w:rPr>
        <w:t>fu sorteggiata la tribù di Beniamino</w:t>
      </w:r>
      <w:r>
        <w:rPr>
          <w:rFonts w:ascii="Times New Roman" w:hAnsi="Times New Roman"/>
          <w:i/>
          <w:color w:val="000000"/>
        </w:rPr>
        <w:t xml:space="preserve">.  Fece poi accostare la tribù di Beniamino distinta per casati e </w:t>
      </w:r>
      <w:r>
        <w:rPr>
          <w:rFonts w:ascii="Times New Roman" w:hAnsi="Times New Roman"/>
          <w:b/>
          <w:i/>
          <w:color w:val="000000"/>
        </w:rPr>
        <w:t>fu sorteggiato il casato di Matrì</w:t>
      </w:r>
      <w:r>
        <w:rPr>
          <w:rFonts w:ascii="Times New Roman" w:hAnsi="Times New Roman"/>
          <w:i/>
          <w:color w:val="000000"/>
        </w:rPr>
        <w:t xml:space="preserve"> e </w:t>
      </w:r>
      <w:r>
        <w:rPr>
          <w:rFonts w:ascii="Times New Roman" w:hAnsi="Times New Roman"/>
          <w:b/>
          <w:i/>
          <w:color w:val="000000"/>
        </w:rPr>
        <w:t>fu sorteggiato Saul figlio di Kis</w:t>
      </w:r>
      <w:r>
        <w:rPr>
          <w:rFonts w:ascii="Times New Roman" w:hAnsi="Times New Roman"/>
          <w:i/>
          <w:color w:val="000000"/>
        </w:rPr>
        <w:t xml:space="preserve">. Si misero a </w:t>
      </w:r>
      <w:r>
        <w:rPr>
          <w:rFonts w:ascii="Times New Roman" w:hAnsi="Times New Roman"/>
          <w:i/>
          <w:color w:val="000000"/>
        </w:rPr>
        <w:lastRenderedPageBreak/>
        <w:t xml:space="preserve">cercarlo, ma non lo si trovò. Era nascosto in mezzo ai bagagli.  Corsero a prenderlo di là ed </w:t>
      </w:r>
      <w:r>
        <w:rPr>
          <w:rFonts w:ascii="Times New Roman" w:hAnsi="Times New Roman"/>
          <w:b/>
          <w:i/>
          <w:color w:val="000000"/>
        </w:rPr>
        <w:t>egli si collocò in mezzo al popolo: sopravanzava dalla spalla  in su tutto il popolo.</w:t>
      </w:r>
      <w:r>
        <w:rPr>
          <w:rFonts w:ascii="Times New Roman" w:hAnsi="Times New Roman"/>
          <w:i/>
          <w:color w:val="000000"/>
        </w:rPr>
        <w:t xml:space="preserve">  Samuele disse a tutto il popolo: «Vedete dunque chi </w:t>
      </w:r>
      <w:r>
        <w:rPr>
          <w:rFonts w:ascii="Times New Roman" w:hAnsi="Times New Roman"/>
          <w:b/>
          <w:i/>
          <w:color w:val="000000"/>
        </w:rPr>
        <w:t>il Signore ha eletto, perché non c’è nessuno in tutto il popolo come lui</w:t>
      </w:r>
      <w:r>
        <w:rPr>
          <w:rFonts w:ascii="Times New Roman" w:hAnsi="Times New Roman"/>
          <w:i/>
          <w:color w:val="000000"/>
        </w:rPr>
        <w:t xml:space="preserve">». Tutto il popolo proruppe in un grido: «Viva il re !».  Samuele espose a tutto il popolo il diritto del regno  e </w:t>
      </w:r>
      <w:r>
        <w:rPr>
          <w:rFonts w:ascii="Times New Roman" w:hAnsi="Times New Roman"/>
          <w:b/>
          <w:i/>
          <w:color w:val="000000"/>
        </w:rPr>
        <w:t>lo scrisse in un libro, che depositò davanti al Signore</w:t>
      </w:r>
      <w:r>
        <w:rPr>
          <w:rFonts w:ascii="Times New Roman" w:hAnsi="Times New Roman"/>
          <w:i/>
          <w:color w:val="000000"/>
          <w:szCs w:val="24"/>
        </w:rPr>
        <w:t>»</w:t>
      </w:r>
      <w:r>
        <w:rPr>
          <w:rFonts w:ascii="Times New Roman" w:hAnsi="Times New Roman"/>
          <w:color w:val="000000"/>
          <w:szCs w:val="24"/>
        </w:rPr>
        <w:t xml:space="preserve"> (1Sam 10,17-25).</w:t>
      </w:r>
    </w:p>
    <w:p w:rsidR="00ED02CA" w:rsidRDefault="00ED02CA" w:rsidP="007F37C6">
      <w:pPr>
        <w:ind w:firstLine="708"/>
        <w:jc w:val="both"/>
        <w:rPr>
          <w:rFonts w:ascii="Times New Roman" w:hAnsi="Times New Roman"/>
          <w:color w:val="000000"/>
          <w:szCs w:val="24"/>
        </w:rPr>
      </w:pPr>
    </w:p>
    <w:p w:rsidR="00ED02CA" w:rsidRDefault="00ED02CA" w:rsidP="007F37C6">
      <w:pPr>
        <w:ind w:firstLine="708"/>
        <w:jc w:val="both"/>
        <w:rPr>
          <w:rFonts w:ascii="Times New Roman" w:hAnsi="Times New Roman"/>
          <w:i/>
          <w:sz w:val="22"/>
          <w:szCs w:val="22"/>
        </w:rPr>
      </w:pPr>
      <w:r>
        <w:rPr>
          <w:rFonts w:ascii="Times New Roman" w:hAnsi="Times New Roman"/>
          <w:color w:val="000000"/>
          <w:szCs w:val="24"/>
        </w:rPr>
        <w:t xml:space="preserve">Questa storia di elezione, ancora primitiva, tradisce l’antichità del racconto. Spesso per conoscere la volontà di Dio </w:t>
      </w:r>
      <w:r>
        <w:rPr>
          <w:rFonts w:ascii="Times New Roman" w:hAnsi="Times New Roman"/>
          <w:b/>
          <w:color w:val="000000"/>
          <w:szCs w:val="24"/>
        </w:rPr>
        <w:t>si tiravano le sorti</w:t>
      </w:r>
      <w:r>
        <w:rPr>
          <w:rFonts w:ascii="Times New Roman" w:hAnsi="Times New Roman"/>
          <w:color w:val="000000"/>
          <w:szCs w:val="24"/>
        </w:rPr>
        <w:t xml:space="preserve">. Il Sommo sacerdote ebreo teneva nella borsa appesa al petto due pietre di diverso colore per il sorteggio, chiamate con nomi misteriosi: Urim e Tummim (Es 28,30).  Si vede chiaramente che Samuele presenta un re a malincuore, egli </w:t>
      </w:r>
      <w:r>
        <w:rPr>
          <w:rFonts w:ascii="Times New Roman" w:hAnsi="Times New Roman"/>
          <w:b/>
          <w:color w:val="000000"/>
          <w:szCs w:val="24"/>
        </w:rPr>
        <w:t>è contrario alla monarchia</w:t>
      </w:r>
      <w:r>
        <w:rPr>
          <w:rFonts w:ascii="Times New Roman" w:hAnsi="Times New Roman"/>
          <w:color w:val="000000"/>
          <w:szCs w:val="24"/>
        </w:rPr>
        <w:t xml:space="preserve"> e ne rivela il perché. Comunque non vuole esser più rigido di Dio e </w:t>
      </w:r>
      <w:r>
        <w:rPr>
          <w:rFonts w:ascii="Times New Roman" w:hAnsi="Times New Roman"/>
          <w:b/>
          <w:color w:val="000000"/>
          <w:szCs w:val="24"/>
        </w:rPr>
        <w:t>si adatta</w:t>
      </w:r>
      <w:r>
        <w:rPr>
          <w:rFonts w:ascii="Times New Roman" w:hAnsi="Times New Roman"/>
          <w:color w:val="000000"/>
          <w:szCs w:val="24"/>
        </w:rPr>
        <w:t xml:space="preserve"> all’elezione di Saul. Stabilisce però con chiarezza in </w:t>
      </w:r>
      <w:r>
        <w:rPr>
          <w:rFonts w:ascii="Times New Roman" w:hAnsi="Times New Roman"/>
          <w:b/>
          <w:color w:val="000000"/>
          <w:szCs w:val="24"/>
        </w:rPr>
        <w:t xml:space="preserve">un documento scritto costituzionale </w:t>
      </w:r>
      <w:r>
        <w:rPr>
          <w:rFonts w:ascii="Times New Roman" w:hAnsi="Times New Roman"/>
          <w:color w:val="000000"/>
          <w:szCs w:val="24"/>
        </w:rPr>
        <w:t>per la monarchia che pose accanto all’arca come cosa sacra e inviolabile. L’incoronazione ufficiale avvenne a Galgala, il santuario inaugurato da Giosuè nella valle del Giordano (Gs 4,19-24).</w:t>
      </w:r>
    </w:p>
    <w:p w:rsidR="00ED02CA" w:rsidRDefault="00ED02CA" w:rsidP="007F37C6">
      <w:pPr>
        <w:jc w:val="both"/>
        <w:rPr>
          <w:rFonts w:ascii="Times New Roman" w:hAnsi="Times New Roman"/>
          <w:b/>
          <w:szCs w:val="24"/>
        </w:rPr>
      </w:pPr>
    </w:p>
    <w:p w:rsidR="00ED02CA" w:rsidRDefault="00ED02CA" w:rsidP="007F37C6">
      <w:pPr>
        <w:jc w:val="both"/>
        <w:rPr>
          <w:rFonts w:ascii="Times New Roman" w:hAnsi="Times New Roman"/>
          <w:b/>
          <w:szCs w:val="24"/>
        </w:rPr>
      </w:pPr>
    </w:p>
    <w:p w:rsidR="00ED02CA" w:rsidRDefault="00ED02CA" w:rsidP="007F37C6">
      <w:pPr>
        <w:ind w:firstLine="708"/>
        <w:jc w:val="both"/>
        <w:rPr>
          <w:rFonts w:ascii="Times New Roman" w:hAnsi="Times New Roman"/>
          <w:b/>
          <w:i/>
          <w:sz w:val="22"/>
          <w:szCs w:val="22"/>
        </w:rPr>
      </w:pPr>
      <w:r>
        <w:rPr>
          <w:rFonts w:ascii="Times New Roman" w:hAnsi="Times New Roman"/>
          <w:b/>
          <w:szCs w:val="24"/>
        </w:rPr>
        <w:t>Le storie di Saul e di Davide si intrecciano</w:t>
      </w:r>
      <w:r>
        <w:rPr>
          <w:rFonts w:ascii="Times New Roman" w:hAnsi="Times New Roman"/>
          <w:b/>
          <w:i/>
        </w:rPr>
        <w:t xml:space="preserve"> </w:t>
      </w:r>
    </w:p>
    <w:p w:rsidR="00ED02CA" w:rsidRDefault="00ED02CA" w:rsidP="007F37C6">
      <w:pPr>
        <w:jc w:val="both"/>
        <w:rPr>
          <w:rFonts w:ascii="Times New Roman" w:hAnsi="Times New Roman"/>
        </w:rPr>
      </w:pPr>
    </w:p>
    <w:p w:rsidR="00ED02CA" w:rsidRDefault="00C4085C" w:rsidP="007F37C6">
      <w:pPr>
        <w:ind w:firstLine="708"/>
        <w:jc w:val="both"/>
        <w:rPr>
          <w:rFonts w:ascii="Times New Roman" w:hAnsi="Times New Roman"/>
          <w:szCs w:val="24"/>
        </w:rPr>
      </w:pPr>
      <w:r w:rsidRPr="00C4085C">
        <w:rPr>
          <w:noProof/>
        </w:rPr>
        <w:pict>
          <v:shape id="_x0000_s1151" type="#_x0000_t202" style="position:absolute;left:0;text-align:left;margin-left:19.05pt;margin-top:375.2pt;width:99pt;height:23.85pt;z-index:251618304" stroked="f">
            <v:textbox style="mso-next-textbox:#_x0000_s1151" inset="0,0,0,0">
              <w:txbxContent>
                <w:p w:rsidR="00AC06D4" w:rsidRPr="001C1C6E" w:rsidRDefault="00AC06D4" w:rsidP="00956A0C">
                  <w:pPr>
                    <w:pStyle w:val="Didascalia"/>
                    <w:jc w:val="center"/>
                  </w:pPr>
                  <w:r>
                    <w:t>Unzione di Davide re</w:t>
                  </w:r>
                </w:p>
                <w:p w:rsidR="00AC06D4" w:rsidRDefault="00AC06D4"/>
              </w:txbxContent>
            </v:textbox>
            <w10:wrap type="square"/>
          </v:shape>
        </w:pict>
      </w:r>
      <w:r w:rsidR="00E33DB3">
        <w:rPr>
          <w:noProof/>
        </w:rPr>
        <w:drawing>
          <wp:anchor distT="0" distB="0" distL="114300" distR="114300" simplePos="0" relativeHeight="251601920" behindDoc="0" locked="0" layoutInCell="1" allowOverlap="1">
            <wp:simplePos x="0" y="0"/>
            <wp:positionH relativeFrom="margin">
              <wp:posOffset>17780</wp:posOffset>
            </wp:positionH>
            <wp:positionV relativeFrom="margin">
              <wp:posOffset>6039485</wp:posOffset>
            </wp:positionV>
            <wp:extent cx="2020570" cy="1880235"/>
            <wp:effectExtent l="19050" t="0" r="0" b="0"/>
            <wp:wrapSquare wrapText="bothSides"/>
            <wp:docPr id="126" name="Immagine 118"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8" descr="56"/>
                    <pic:cNvPicPr>
                      <a:picLocks noChangeAspect="1" noChangeArrowheads="1"/>
                    </pic:cNvPicPr>
                  </pic:nvPicPr>
                  <pic:blipFill>
                    <a:blip r:embed="rId21"/>
                    <a:srcRect/>
                    <a:stretch>
                      <a:fillRect/>
                    </a:stretch>
                  </pic:blipFill>
                  <pic:spPr bwMode="auto">
                    <a:xfrm>
                      <a:off x="0" y="0"/>
                      <a:ext cx="2020570" cy="1880235"/>
                    </a:xfrm>
                    <a:prstGeom prst="rect">
                      <a:avLst/>
                    </a:prstGeom>
                    <a:noFill/>
                  </pic:spPr>
                </pic:pic>
              </a:graphicData>
            </a:graphic>
          </wp:anchor>
        </w:drawing>
      </w:r>
      <w:r w:rsidRPr="00C4085C">
        <w:rPr>
          <w:noProof/>
        </w:rPr>
        <w:pict>
          <v:shape id="_x0000_s1148" type="#_x0000_t202" style="position:absolute;left:0;text-align:left;margin-left:292.05pt;margin-top:178.15pt;width:209.85pt;height:12pt;z-index:251617280;mso-position-horizontal-relative:text;mso-position-vertical-relative:text" stroked="f">
            <v:textbox inset="0,0,0,0">
              <w:txbxContent>
                <w:p w:rsidR="00AC06D4" w:rsidRDefault="00AC06D4" w:rsidP="00956A0C">
                  <w:pPr>
                    <w:pStyle w:val="Didascalia"/>
                    <w:jc w:val="center"/>
                    <w:rPr>
                      <w:rFonts w:ascii="Times New Roman" w:hAnsi="Times New Roman"/>
                      <w:noProof/>
                      <w:color w:val="000000"/>
                      <w:sz w:val="24"/>
                      <w:szCs w:val="24"/>
                    </w:rPr>
                  </w:pPr>
                  <w:r>
                    <w:t>Samuele consacra Saul</w:t>
                  </w:r>
                </w:p>
              </w:txbxContent>
            </v:textbox>
            <w10:wrap type="square"/>
          </v:shape>
        </w:pict>
      </w:r>
      <w:r w:rsidR="00E33DB3">
        <w:rPr>
          <w:noProof/>
        </w:rPr>
        <w:drawing>
          <wp:anchor distT="0" distB="0" distL="114300" distR="114300" simplePos="0" relativeHeight="251621376" behindDoc="0" locked="0" layoutInCell="1" allowOverlap="1">
            <wp:simplePos x="0" y="0"/>
            <wp:positionH relativeFrom="margin">
              <wp:posOffset>3470910</wp:posOffset>
            </wp:positionH>
            <wp:positionV relativeFrom="margin">
              <wp:posOffset>4433570</wp:posOffset>
            </wp:positionV>
            <wp:extent cx="2717165" cy="2209800"/>
            <wp:effectExtent l="19050" t="0" r="6985" b="0"/>
            <wp:wrapSquare wrapText="bothSides"/>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srcRect/>
                    <a:stretch>
                      <a:fillRect/>
                    </a:stretch>
                  </pic:blipFill>
                  <pic:spPr bwMode="auto">
                    <a:xfrm>
                      <a:off x="0" y="0"/>
                      <a:ext cx="2717165" cy="2209800"/>
                    </a:xfrm>
                    <a:prstGeom prst="rect">
                      <a:avLst/>
                    </a:prstGeom>
                    <a:noFill/>
                  </pic:spPr>
                </pic:pic>
              </a:graphicData>
            </a:graphic>
          </wp:anchor>
        </w:drawing>
      </w:r>
      <w:r w:rsidR="00ED02CA">
        <w:rPr>
          <w:rFonts w:ascii="Times New Roman" w:hAnsi="Times New Roman"/>
          <w:szCs w:val="24"/>
        </w:rPr>
        <w:t>Saul fu un re valoroso «</w:t>
      </w:r>
      <w:r w:rsidR="00ED02CA">
        <w:rPr>
          <w:rFonts w:ascii="Times New Roman" w:hAnsi="Times New Roman"/>
          <w:i/>
          <w:szCs w:val="24"/>
        </w:rPr>
        <w:t>combatté contro tutti i nemici all’intorno e dovunque si volgeva aveva successo. Compì  imprese  coraggiose , batté gli Amaleciti e liberò Israele dalle mani degli oppressori. Figli di Saul furono Gionata, Isvi e Malchisua; le sue figlie si chiamavano Merab, la maggiore, e Mical, la più piccola</w:t>
      </w:r>
      <w:r w:rsidR="00ED02CA">
        <w:rPr>
          <w:rFonts w:ascii="Times New Roman" w:hAnsi="Times New Roman"/>
          <w:szCs w:val="24"/>
        </w:rPr>
        <w:t>» (1Sam 14,47-49). Egli però ebbe alle calcagna sempre Samuele che lo condizionava e vegliava sulla sua condotta come critico severo. Era inevitabile una rottura fra i due che non tardò a venire. Saul restava un uomo rozzo e indipendente e non sopportò a lungo i rimbrotti di Samuele. I due si separarono sdegnosamente: «</w:t>
      </w:r>
      <w:r w:rsidR="00ED02CA">
        <w:rPr>
          <w:rFonts w:ascii="Times New Roman" w:hAnsi="Times New Roman"/>
          <w:i/>
          <w:szCs w:val="24"/>
        </w:rPr>
        <w:t>Samuele non rivide più Saul fino al giorno della sua morte; ma Samuele piangeva per Saul, perché il Signore si era pentito di aver fatto regnare Saul su Israele</w:t>
      </w:r>
      <w:r w:rsidR="00ED02CA">
        <w:rPr>
          <w:rFonts w:ascii="Times New Roman" w:hAnsi="Times New Roman"/>
          <w:szCs w:val="24"/>
        </w:rPr>
        <w:t xml:space="preserve">» (1Sam 15,34s). Fu una rottura clamorosa che portò Saul alla rovina. </w:t>
      </w:r>
    </w:p>
    <w:p w:rsidR="00ED02CA" w:rsidRDefault="00ED02CA" w:rsidP="009D06C7">
      <w:pPr>
        <w:jc w:val="both"/>
        <w:rPr>
          <w:rFonts w:ascii="Times New Roman" w:hAnsi="Times New Roman"/>
          <w:szCs w:val="24"/>
        </w:rPr>
      </w:pPr>
      <w:r>
        <w:rPr>
          <w:rFonts w:ascii="Times New Roman" w:hAnsi="Times New Roman"/>
          <w:szCs w:val="24"/>
        </w:rPr>
        <w:lastRenderedPageBreak/>
        <w:t xml:space="preserve">Da quel giorno </w:t>
      </w:r>
      <w:r>
        <w:rPr>
          <w:rFonts w:ascii="Times New Roman" w:hAnsi="Times New Roman"/>
          <w:b/>
          <w:szCs w:val="24"/>
        </w:rPr>
        <w:t>Samuele cercò un nuovo re</w:t>
      </w:r>
      <w:r>
        <w:rPr>
          <w:rFonts w:ascii="Times New Roman" w:hAnsi="Times New Roman"/>
          <w:szCs w:val="24"/>
        </w:rPr>
        <w:t>. Ecco il racconto dell’incontro con Davide: «</w:t>
      </w:r>
      <w:r>
        <w:rPr>
          <w:rFonts w:ascii="Times New Roman" w:hAnsi="Times New Roman"/>
          <w:i/>
          <w:color w:val="000000"/>
        </w:rPr>
        <w:t xml:space="preserve">Il Signore disse a Samuele: ″Fino a quando piangerai su Saul, mentre io l’ho ripudiato perché non regni su Israele? Riempi d’olio il tuo corno e parti. </w:t>
      </w:r>
      <w:r>
        <w:rPr>
          <w:rFonts w:ascii="Times New Roman" w:hAnsi="Times New Roman"/>
          <w:b/>
          <w:i/>
          <w:color w:val="000000"/>
        </w:rPr>
        <w:t>Ti mando da Iesse il Betlemmita, perché mi sono scelto tra i suoi figli un re″</w:t>
      </w:r>
      <w:r>
        <w:rPr>
          <w:rFonts w:ascii="Times New Roman" w:hAnsi="Times New Roman"/>
          <w:i/>
          <w:color w:val="000000"/>
        </w:rPr>
        <w:t>.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w:t>
      </w:r>
      <w:r>
        <w:rPr>
          <w:rFonts w:ascii="Times New Roman" w:hAnsi="Times New Roman"/>
          <w:b/>
          <w:i/>
          <w:color w:val="000000"/>
        </w:rPr>
        <w:t xml:space="preserve"> Eliàb</w:t>
      </w:r>
      <w:r>
        <w:rPr>
          <w:rFonts w:ascii="Times New Roman" w:hAnsi="Times New Roman"/>
          <w:i/>
          <w:color w:val="000000"/>
        </w:rPr>
        <w:t xml:space="preserve"> e disse: ″Certo, davanti al Signore sta il suo consacrato!″. Il Signore replicò a Samuele: ″Non guardare al suo aspetto né alla sua alta  statura. Io l’ho scartato, perché non conta quel che vede l’uomo: infatti </w:t>
      </w:r>
      <w:r>
        <w:rPr>
          <w:rFonts w:ascii="Times New Roman" w:hAnsi="Times New Roman"/>
          <w:b/>
          <w:i/>
          <w:color w:val="000000"/>
        </w:rPr>
        <w:t xml:space="preserve">l’uomo vede l’apparenza, ma il Signore </w:t>
      </w:r>
      <w:r w:rsidR="00E33DB3">
        <w:rPr>
          <w:noProof/>
        </w:rPr>
        <w:drawing>
          <wp:anchor distT="0" distB="0" distL="114300" distR="114300" simplePos="0" relativeHeight="251619328" behindDoc="0" locked="0" layoutInCell="1" allowOverlap="1">
            <wp:simplePos x="0" y="0"/>
            <wp:positionH relativeFrom="margin">
              <wp:posOffset>4747260</wp:posOffset>
            </wp:positionH>
            <wp:positionV relativeFrom="margin">
              <wp:posOffset>852170</wp:posOffset>
            </wp:positionV>
            <wp:extent cx="1381125" cy="1952625"/>
            <wp:effectExtent l="19050" t="0" r="9525" b="0"/>
            <wp:wrapSquare wrapText="bothSides"/>
            <wp:docPr id="128" name="Immagine 121" descr="Caravaggio.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1" descr="Caravaggio. David"/>
                    <pic:cNvPicPr>
                      <a:picLocks noChangeAspect="1" noChangeArrowheads="1"/>
                    </pic:cNvPicPr>
                  </pic:nvPicPr>
                  <pic:blipFill>
                    <a:blip r:embed="rId23">
                      <a:lum bright="10000"/>
                    </a:blip>
                    <a:srcRect/>
                    <a:stretch>
                      <a:fillRect/>
                    </a:stretch>
                  </pic:blipFill>
                  <pic:spPr bwMode="auto">
                    <a:xfrm>
                      <a:off x="0" y="0"/>
                      <a:ext cx="1381125" cy="1952625"/>
                    </a:xfrm>
                    <a:prstGeom prst="rect">
                      <a:avLst/>
                    </a:prstGeom>
                    <a:noFill/>
                  </pic:spPr>
                </pic:pic>
              </a:graphicData>
            </a:graphic>
          </wp:anchor>
        </w:drawing>
      </w:r>
      <w:r>
        <w:rPr>
          <w:rFonts w:ascii="Times New Roman" w:hAnsi="Times New Roman"/>
          <w:b/>
          <w:i/>
          <w:color w:val="000000"/>
        </w:rPr>
        <w:t>vede il cuore</w:t>
      </w:r>
      <w:r>
        <w:rPr>
          <w:rFonts w:ascii="Times New Roman" w:hAnsi="Times New Roman"/>
          <w:i/>
          <w:color w:val="000000"/>
        </w:rPr>
        <w:t xml:space="preserve">″. Iesse chiamò </w:t>
      </w:r>
      <w:r>
        <w:rPr>
          <w:rFonts w:ascii="Times New Roman" w:hAnsi="Times New Roman"/>
          <w:b/>
          <w:i/>
          <w:color w:val="000000"/>
        </w:rPr>
        <w:t>Abinadàb</w:t>
      </w:r>
      <w:r>
        <w:rPr>
          <w:rFonts w:ascii="Times New Roman" w:hAnsi="Times New Roman"/>
          <w:i/>
          <w:color w:val="000000"/>
        </w:rPr>
        <w:t xml:space="preserve"> e lo presentò a Samuele, ma questi disse: ″Nemmeno costui il Signore ha scelto″.  Iesse fece passare </w:t>
      </w:r>
      <w:r>
        <w:rPr>
          <w:rFonts w:ascii="Times New Roman" w:hAnsi="Times New Roman"/>
          <w:b/>
          <w:i/>
          <w:color w:val="000000"/>
        </w:rPr>
        <w:t xml:space="preserve">Sammà </w:t>
      </w:r>
      <w:r>
        <w:rPr>
          <w:rFonts w:ascii="Times New Roman" w:hAnsi="Times New Roman"/>
          <w:i/>
          <w:color w:val="000000"/>
        </w:rPr>
        <w:t xml:space="preserve">e quegli disse: ″Nemmeno costui il Signore ha scelto″. Iesse fece passare davanti a Samuele </w:t>
      </w:r>
      <w:r>
        <w:rPr>
          <w:rFonts w:ascii="Times New Roman" w:hAnsi="Times New Roman"/>
          <w:b/>
          <w:i/>
          <w:color w:val="000000"/>
        </w:rPr>
        <w:t>i suoi sette figli</w:t>
      </w:r>
      <w:r>
        <w:rPr>
          <w:rFonts w:ascii="Times New Roman" w:hAnsi="Times New Roman"/>
          <w:i/>
          <w:color w:val="000000"/>
        </w:rPr>
        <w:t xml:space="preserve"> e Samuele ripeté a Iesse: ″Il Signore non ha scelto nessuno di questi″.  Samuele chiese </w:t>
      </w:r>
      <w:r w:rsidR="00C4085C" w:rsidRPr="00C4085C">
        <w:rPr>
          <w:noProof/>
        </w:rPr>
        <w:pict>
          <v:shape id="_x0000_s1153" type="#_x0000_t202" style="position:absolute;left:0;text-align:left;margin-left:2.55pt;margin-top:178.5pt;width:132.7pt;height:12.5pt;z-index:251622400;mso-position-horizontal-relative:text;mso-position-vertical-relative:text" stroked="f">
            <v:textbox inset="0,0,0,0">
              <w:txbxContent>
                <w:p w:rsidR="00AC06D4" w:rsidRDefault="00AC06D4" w:rsidP="00956A0C">
                  <w:pPr>
                    <w:pStyle w:val="Didascalia"/>
                    <w:jc w:val="center"/>
                    <w:rPr>
                      <w:noProof/>
                    </w:rPr>
                  </w:pPr>
                  <w:r>
                    <w:t>Davide suonatore di cetra</w:t>
                  </w:r>
                </w:p>
              </w:txbxContent>
            </v:textbox>
            <w10:wrap type="square"/>
          </v:shape>
        </w:pict>
      </w:r>
      <w:r>
        <w:rPr>
          <w:rFonts w:ascii="Times New Roman" w:hAnsi="Times New Roman"/>
          <w:i/>
          <w:color w:val="000000"/>
        </w:rPr>
        <w:t xml:space="preserve">a Iesse: ″Sono qui tutti i giovani?″. Rispose Iesse: ″Rimane ancora </w:t>
      </w:r>
      <w:r>
        <w:rPr>
          <w:rFonts w:ascii="Times New Roman" w:hAnsi="Times New Roman"/>
          <w:b/>
          <w:i/>
          <w:color w:val="000000"/>
        </w:rPr>
        <w:t>il più piccolo</w:t>
      </w:r>
      <w:r>
        <w:rPr>
          <w:rFonts w:ascii="Times New Roman" w:hAnsi="Times New Roman"/>
          <w:i/>
          <w:color w:val="000000"/>
        </w:rPr>
        <w:t xml:space="preserve">, che ora sta a pascolare il gregge″. Samuele disse a Iesse: ″Manda a prenderlo, perché non ci metteremo a tavola prima che egli sia venuto qui″.  Lo </w:t>
      </w:r>
      <w:r w:rsidR="00C4085C" w:rsidRPr="00C4085C">
        <w:rPr>
          <w:noProof/>
        </w:rPr>
        <w:pict>
          <v:shape id="_x0000_s1154" type="#_x0000_t202" style="position:absolute;left:0;text-align:left;margin-left:374.55pt;margin-top:226.85pt;width:108.5pt;height:12.5pt;z-index:251623424;mso-position-horizontal-relative:text;mso-position-vertical-relative:text" stroked="f">
            <v:textbox inset="0,0,0,0">
              <w:txbxContent>
                <w:p w:rsidR="00AC06D4" w:rsidRPr="00F43277" w:rsidRDefault="00AC06D4" w:rsidP="00F7093D">
                  <w:pPr>
                    <w:pStyle w:val="Didascalia"/>
                    <w:rPr>
                      <w:noProof/>
                    </w:rPr>
                  </w:pPr>
                  <w:r>
                    <w:t>Caravaggio: David e Golia</w:t>
                  </w:r>
                </w:p>
              </w:txbxContent>
            </v:textbox>
            <w10:wrap type="square"/>
          </v:shape>
        </w:pict>
      </w:r>
      <w:r>
        <w:rPr>
          <w:rFonts w:ascii="Times New Roman" w:hAnsi="Times New Roman"/>
          <w:i/>
          <w:color w:val="000000"/>
        </w:rPr>
        <w:t xml:space="preserve">mandò a chiamare e lo fece venire. </w:t>
      </w:r>
      <w:r>
        <w:rPr>
          <w:rFonts w:ascii="Times New Roman" w:hAnsi="Times New Roman"/>
          <w:b/>
          <w:i/>
          <w:color w:val="000000"/>
        </w:rPr>
        <w:t>Era fulvo, con begli  occhi e bello di aspetto</w:t>
      </w:r>
      <w:r>
        <w:rPr>
          <w:rFonts w:ascii="Times New Roman" w:hAnsi="Times New Roman"/>
          <w:i/>
          <w:color w:val="000000"/>
        </w:rPr>
        <w:t xml:space="preserve">. Disse il Signore: ″Àlzati e ungilo: è lui!″.  </w:t>
      </w:r>
      <w:r>
        <w:rPr>
          <w:rFonts w:ascii="Times New Roman" w:hAnsi="Times New Roman"/>
          <w:b/>
          <w:i/>
          <w:color w:val="000000"/>
        </w:rPr>
        <w:t xml:space="preserve">Samuele prese il corno dell’olio e lo unse </w:t>
      </w:r>
      <w:r>
        <w:rPr>
          <w:rFonts w:ascii="Times New Roman" w:hAnsi="Times New Roman"/>
          <w:i/>
          <w:color w:val="000000"/>
        </w:rPr>
        <w:t xml:space="preserve">in mezzo ai suoi fratelli, e </w:t>
      </w:r>
      <w:r>
        <w:rPr>
          <w:rFonts w:ascii="Times New Roman" w:hAnsi="Times New Roman"/>
          <w:b/>
          <w:i/>
          <w:color w:val="000000"/>
        </w:rPr>
        <w:t>lo spirito  del Signore irruppe su Davide</w:t>
      </w:r>
      <w:r>
        <w:rPr>
          <w:rFonts w:ascii="Times New Roman" w:hAnsi="Times New Roman"/>
          <w:i/>
          <w:color w:val="000000"/>
        </w:rPr>
        <w:t xml:space="preserve"> da quel giorno in poi</w:t>
      </w:r>
      <w:r>
        <w:rPr>
          <w:rFonts w:ascii="Times New Roman" w:hAnsi="Times New Roman"/>
          <w:i/>
          <w:color w:val="000000"/>
          <w:szCs w:val="24"/>
        </w:rPr>
        <w:t>»</w:t>
      </w:r>
      <w:r>
        <w:rPr>
          <w:rFonts w:ascii="Times New Roman" w:hAnsi="Times New Roman"/>
          <w:color w:val="000000"/>
          <w:szCs w:val="24"/>
        </w:rPr>
        <w:t xml:space="preserve">(1Sam 16,1-13). </w:t>
      </w:r>
    </w:p>
    <w:p w:rsidR="00ED02CA" w:rsidRDefault="00ED02CA" w:rsidP="007F37C6">
      <w:pPr>
        <w:jc w:val="both"/>
        <w:rPr>
          <w:rFonts w:ascii="Times New Roman" w:hAnsi="Times New Roman"/>
          <w:szCs w:val="24"/>
        </w:rPr>
      </w:pPr>
    </w:p>
    <w:p w:rsidR="00ED02CA" w:rsidRDefault="00ED02CA" w:rsidP="007F37C6">
      <w:pPr>
        <w:ind w:firstLine="708"/>
        <w:jc w:val="both"/>
        <w:rPr>
          <w:rFonts w:ascii="Times New Roman" w:hAnsi="Times New Roman"/>
          <w:szCs w:val="24"/>
        </w:rPr>
      </w:pPr>
      <w:r>
        <w:rPr>
          <w:rFonts w:ascii="Times New Roman" w:hAnsi="Times New Roman"/>
          <w:szCs w:val="24"/>
        </w:rPr>
        <w:t xml:space="preserve">Mancava solo che il piccolo re pastore entrasse </w:t>
      </w:r>
      <w:r>
        <w:rPr>
          <w:rFonts w:ascii="Times New Roman" w:hAnsi="Times New Roman"/>
          <w:b/>
          <w:szCs w:val="24"/>
        </w:rPr>
        <w:t>alla corte di Saul</w:t>
      </w:r>
      <w:r>
        <w:rPr>
          <w:rFonts w:ascii="Times New Roman" w:hAnsi="Times New Roman"/>
          <w:szCs w:val="24"/>
        </w:rPr>
        <w:t xml:space="preserve">. Per questo evento abbiamo una </w:t>
      </w:r>
      <w:r>
        <w:rPr>
          <w:rFonts w:ascii="Times New Roman" w:hAnsi="Times New Roman"/>
          <w:b/>
          <w:szCs w:val="24"/>
        </w:rPr>
        <w:t>duplice tradizione</w:t>
      </w:r>
      <w:r>
        <w:rPr>
          <w:rFonts w:ascii="Times New Roman" w:hAnsi="Times New Roman"/>
          <w:szCs w:val="24"/>
        </w:rPr>
        <w:t xml:space="preserve">: quella del concorso per un </w:t>
      </w:r>
      <w:r>
        <w:rPr>
          <w:rFonts w:ascii="Times New Roman" w:hAnsi="Times New Roman"/>
          <w:b/>
          <w:szCs w:val="24"/>
        </w:rPr>
        <w:t>suonatore di cetra</w:t>
      </w:r>
      <w:r>
        <w:rPr>
          <w:rFonts w:ascii="Times New Roman" w:hAnsi="Times New Roman"/>
          <w:szCs w:val="24"/>
        </w:rPr>
        <w:t xml:space="preserve"> che alleviasse con la sua musica i momenti di crisi nervosa di Saul (1Sam 16,14-21) e quella della </w:t>
      </w:r>
      <w:r>
        <w:rPr>
          <w:rFonts w:ascii="Times New Roman" w:hAnsi="Times New Roman"/>
          <w:b/>
          <w:szCs w:val="24"/>
        </w:rPr>
        <w:t>vittoria di Davide sul gigante filisteo Golia</w:t>
      </w:r>
      <w:r>
        <w:rPr>
          <w:rFonts w:ascii="Times New Roman" w:hAnsi="Times New Roman"/>
          <w:szCs w:val="24"/>
        </w:rPr>
        <w:t xml:space="preserve"> (1Sam 17,41-18,5). Difficile dire quale sia la storia più vera. Sta di fatto che Davide entrò al servizio di Saul, prima come suo scudiero e poi come capo manipolo, legandosi con forte patto di </w:t>
      </w:r>
      <w:r>
        <w:rPr>
          <w:rFonts w:ascii="Times New Roman" w:hAnsi="Times New Roman"/>
          <w:b/>
          <w:szCs w:val="24"/>
        </w:rPr>
        <w:t>amicizia con Gionata,</w:t>
      </w:r>
      <w:r>
        <w:rPr>
          <w:rFonts w:ascii="Times New Roman" w:hAnsi="Times New Roman"/>
          <w:szCs w:val="24"/>
        </w:rPr>
        <w:t xml:space="preserve"> figlio del re (1Sam 18,1-5). Saul gli dà in moglie la figlia </w:t>
      </w:r>
      <w:r>
        <w:rPr>
          <w:rFonts w:ascii="Times New Roman" w:hAnsi="Times New Roman"/>
          <w:b/>
          <w:szCs w:val="24"/>
        </w:rPr>
        <w:t>Mical</w:t>
      </w:r>
      <w:r>
        <w:rPr>
          <w:rFonts w:ascii="Times New Roman" w:hAnsi="Times New Roman"/>
          <w:szCs w:val="24"/>
        </w:rPr>
        <w:t xml:space="preserve"> e lo lega a lui con vincoli di </w:t>
      </w:r>
      <w:r w:rsidR="00E33DB3">
        <w:rPr>
          <w:noProof/>
        </w:rPr>
        <w:drawing>
          <wp:anchor distT="0" distB="0" distL="114300" distR="114300" simplePos="0" relativeHeight="251620352" behindDoc="0" locked="0" layoutInCell="1" allowOverlap="1">
            <wp:simplePos x="0" y="0"/>
            <wp:positionH relativeFrom="margin">
              <wp:align>left</wp:align>
            </wp:positionH>
            <wp:positionV relativeFrom="margin">
              <wp:align>top</wp:align>
            </wp:positionV>
            <wp:extent cx="1685290" cy="2179955"/>
            <wp:effectExtent l="19050" t="0" r="0" b="0"/>
            <wp:wrapSquare wrapText="bothSides"/>
            <wp:docPr id="131" name="Immagine 120" descr="David_plays_ki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0" descr="David_plays_kinnor"/>
                    <pic:cNvPicPr>
                      <a:picLocks noChangeAspect="1" noChangeArrowheads="1"/>
                    </pic:cNvPicPr>
                  </pic:nvPicPr>
                  <pic:blipFill>
                    <a:blip r:embed="rId24"/>
                    <a:srcRect/>
                    <a:stretch>
                      <a:fillRect/>
                    </a:stretch>
                  </pic:blipFill>
                  <pic:spPr bwMode="auto">
                    <a:xfrm>
                      <a:off x="0" y="0"/>
                      <a:ext cx="1685290" cy="2179955"/>
                    </a:xfrm>
                    <a:prstGeom prst="rect">
                      <a:avLst/>
                    </a:prstGeom>
                    <a:noFill/>
                  </pic:spPr>
                </pic:pic>
              </a:graphicData>
            </a:graphic>
          </wp:anchor>
        </w:drawing>
      </w:r>
      <w:r>
        <w:rPr>
          <w:rFonts w:ascii="Times New Roman" w:hAnsi="Times New Roman"/>
          <w:szCs w:val="24"/>
        </w:rPr>
        <w:t xml:space="preserve">parentela. Ma ben presto i successi militari di Davide e la sua capacità di presa sul popolo suscitarono </w:t>
      </w:r>
      <w:r>
        <w:rPr>
          <w:rFonts w:ascii="Times New Roman" w:hAnsi="Times New Roman"/>
          <w:b/>
          <w:szCs w:val="24"/>
        </w:rPr>
        <w:t xml:space="preserve">la gelosia </w:t>
      </w:r>
      <w:r>
        <w:rPr>
          <w:rFonts w:ascii="Times New Roman" w:hAnsi="Times New Roman"/>
          <w:szCs w:val="24"/>
        </w:rPr>
        <w:t xml:space="preserve">del sovrano che tentò di trafiggerlo con la lancia mentre suonava davanti a lui (1Sam 19,8-10). Davide dovette fuggire inseguito e braccato. Ben </w:t>
      </w:r>
      <w:r>
        <w:rPr>
          <w:rFonts w:ascii="Times New Roman" w:hAnsi="Times New Roman"/>
          <w:b/>
          <w:szCs w:val="24"/>
        </w:rPr>
        <w:t>due volte</w:t>
      </w:r>
      <w:r>
        <w:rPr>
          <w:rFonts w:ascii="Times New Roman" w:hAnsi="Times New Roman"/>
          <w:szCs w:val="24"/>
        </w:rPr>
        <w:t xml:space="preserve"> si trovò nell’occasione di uccidere Saul: una prima volta in una grotta di Engaddi (1Sam 24,1-8) e un se</w:t>
      </w:r>
      <w:r w:rsidR="006D346B">
        <w:rPr>
          <w:rFonts w:ascii="Times New Roman" w:hAnsi="Times New Roman"/>
          <w:szCs w:val="24"/>
        </w:rPr>
        <w:t xml:space="preserve">conda volta nel deserto di Zif, </w:t>
      </w:r>
      <w:r>
        <w:rPr>
          <w:rFonts w:ascii="Times New Roman" w:hAnsi="Times New Roman"/>
          <w:szCs w:val="24"/>
        </w:rPr>
        <w:t xml:space="preserve">dove Saul si era accampato (1Sam 26,5-12), ma non volle allungare la mano contro di lui per la </w:t>
      </w:r>
      <w:r>
        <w:rPr>
          <w:rFonts w:ascii="Times New Roman" w:hAnsi="Times New Roman"/>
          <w:b/>
          <w:szCs w:val="24"/>
        </w:rPr>
        <w:t>venerazione</w:t>
      </w:r>
      <w:r>
        <w:rPr>
          <w:rFonts w:ascii="Times New Roman" w:hAnsi="Times New Roman"/>
          <w:szCs w:val="24"/>
        </w:rPr>
        <w:t xml:space="preserve"> che nutriva verso l’unto del Signore.</w:t>
      </w:r>
    </w:p>
    <w:p w:rsidR="00ED02CA" w:rsidRDefault="00ED02CA" w:rsidP="007F37C6">
      <w:pPr>
        <w:jc w:val="both"/>
        <w:rPr>
          <w:rFonts w:ascii="Times New Roman" w:hAnsi="Times New Roman"/>
          <w:b/>
          <w:szCs w:val="24"/>
        </w:rPr>
      </w:pPr>
    </w:p>
    <w:p w:rsidR="00ED02CA" w:rsidRDefault="00ED02CA" w:rsidP="007F37C6">
      <w:pPr>
        <w:jc w:val="both"/>
        <w:rPr>
          <w:rFonts w:ascii="Times New Roman" w:hAnsi="Times New Roman"/>
          <w:b/>
          <w:szCs w:val="24"/>
        </w:rPr>
      </w:pPr>
    </w:p>
    <w:p w:rsidR="00ED02CA" w:rsidRDefault="00ED02CA" w:rsidP="007F37C6">
      <w:pPr>
        <w:ind w:firstLine="708"/>
        <w:jc w:val="both"/>
        <w:rPr>
          <w:rFonts w:ascii="Times New Roman" w:hAnsi="Times New Roman"/>
          <w:b/>
          <w:szCs w:val="24"/>
        </w:rPr>
      </w:pPr>
      <w:r>
        <w:rPr>
          <w:rFonts w:ascii="Times New Roman" w:hAnsi="Times New Roman"/>
          <w:b/>
          <w:szCs w:val="24"/>
        </w:rPr>
        <w:t xml:space="preserve">Il regno di Davide </w:t>
      </w:r>
    </w:p>
    <w:p w:rsidR="00ED02CA" w:rsidRDefault="00ED02CA" w:rsidP="007F37C6">
      <w:pPr>
        <w:jc w:val="both"/>
        <w:rPr>
          <w:rFonts w:ascii="Times New Roman" w:hAnsi="Times New Roman"/>
          <w:szCs w:val="24"/>
        </w:rPr>
      </w:pPr>
    </w:p>
    <w:p w:rsidR="00ED02CA" w:rsidRDefault="00ED02CA" w:rsidP="007F37C6">
      <w:pPr>
        <w:ind w:firstLine="708"/>
        <w:jc w:val="both"/>
        <w:rPr>
          <w:rFonts w:ascii="Times New Roman" w:hAnsi="Times New Roman"/>
          <w:szCs w:val="24"/>
        </w:rPr>
      </w:pPr>
      <w:r>
        <w:rPr>
          <w:rFonts w:ascii="Times New Roman" w:hAnsi="Times New Roman"/>
          <w:szCs w:val="24"/>
        </w:rPr>
        <w:t>Saul, con i suoi figli maggiori,</w:t>
      </w:r>
      <w:r>
        <w:rPr>
          <w:rFonts w:ascii="Times New Roman" w:hAnsi="Times New Roman"/>
          <w:b/>
          <w:szCs w:val="24"/>
        </w:rPr>
        <w:t xml:space="preserve"> morì in guerra contro i Filistei sul monte Gelboe in Galilea</w:t>
      </w:r>
      <w:r>
        <w:rPr>
          <w:rFonts w:ascii="Times New Roman" w:hAnsi="Times New Roman"/>
          <w:szCs w:val="24"/>
        </w:rPr>
        <w:t xml:space="preserve"> e Davide ne pianse sinceramente la scomparsa con un bel canto elegiaco tra i più antichi della Bibbia (2Sam 1,17-27). Con questo canto si apre </w:t>
      </w:r>
      <w:r>
        <w:rPr>
          <w:rFonts w:ascii="Times New Roman" w:hAnsi="Times New Roman"/>
          <w:b/>
          <w:szCs w:val="24"/>
        </w:rPr>
        <w:t>il secondo Libro di Samuele</w:t>
      </w:r>
      <w:r>
        <w:rPr>
          <w:rFonts w:ascii="Times New Roman" w:hAnsi="Times New Roman"/>
          <w:szCs w:val="24"/>
        </w:rPr>
        <w:t xml:space="preserve"> (il vecchio profeta era morto da tempo, 1Sam 25,1) occupato interamente dalla figura di </w:t>
      </w:r>
      <w:r>
        <w:rPr>
          <w:rFonts w:ascii="Times New Roman" w:hAnsi="Times New Roman"/>
          <w:b/>
          <w:szCs w:val="24"/>
        </w:rPr>
        <w:t>David divenuto re</w:t>
      </w:r>
      <w:r>
        <w:rPr>
          <w:rFonts w:ascii="Times New Roman" w:hAnsi="Times New Roman"/>
          <w:szCs w:val="24"/>
        </w:rPr>
        <w:t xml:space="preserve"> prima della tribù di Giuda e poi di tutto Israele (2Sam 5,1-5). Egli scelse come </w:t>
      </w:r>
      <w:r>
        <w:rPr>
          <w:rFonts w:ascii="Times New Roman" w:hAnsi="Times New Roman"/>
          <w:b/>
          <w:szCs w:val="24"/>
        </w:rPr>
        <w:t>capitale del suo regno Gerusalemme</w:t>
      </w:r>
      <w:r>
        <w:rPr>
          <w:rFonts w:ascii="Times New Roman" w:hAnsi="Times New Roman"/>
          <w:szCs w:val="24"/>
        </w:rPr>
        <w:t xml:space="preserve"> che riuscì finalmente a conquistare e possedere come sua proprietà personale </w:t>
      </w:r>
      <w:r>
        <w:rPr>
          <w:rFonts w:ascii="Times New Roman" w:hAnsi="Times New Roman"/>
          <w:szCs w:val="24"/>
        </w:rPr>
        <w:lastRenderedPageBreak/>
        <w:t xml:space="preserve">(2Sam 5,6-12). Qui trasferì </w:t>
      </w:r>
      <w:r>
        <w:rPr>
          <w:rFonts w:ascii="Times New Roman" w:hAnsi="Times New Roman"/>
          <w:b/>
          <w:szCs w:val="24"/>
        </w:rPr>
        <w:t>l’Arca</w:t>
      </w:r>
      <w:r>
        <w:rPr>
          <w:rFonts w:ascii="Times New Roman" w:hAnsi="Times New Roman"/>
          <w:szCs w:val="24"/>
        </w:rPr>
        <w:t xml:space="preserve"> con l’intenzione di costruirvi un Tempio che non riuscì a realizzare (2Sam 6.1-19). </w:t>
      </w:r>
    </w:p>
    <w:p w:rsidR="00ED02CA" w:rsidRDefault="00E33DB3" w:rsidP="007F37C6">
      <w:pPr>
        <w:ind w:firstLine="708"/>
        <w:jc w:val="both"/>
        <w:rPr>
          <w:rFonts w:ascii="Times New Roman" w:hAnsi="Times New Roman"/>
          <w:szCs w:val="24"/>
        </w:rPr>
      </w:pPr>
      <w:r>
        <w:rPr>
          <w:noProof/>
        </w:rPr>
        <w:drawing>
          <wp:anchor distT="0" distB="0" distL="114300" distR="114300" simplePos="0" relativeHeight="251602944" behindDoc="0" locked="0" layoutInCell="1" allowOverlap="1">
            <wp:simplePos x="0" y="0"/>
            <wp:positionH relativeFrom="margin">
              <wp:align>right</wp:align>
            </wp:positionH>
            <wp:positionV relativeFrom="margin">
              <wp:posOffset>3217545</wp:posOffset>
            </wp:positionV>
            <wp:extent cx="3067685" cy="2054225"/>
            <wp:effectExtent l="19050" t="0" r="0" b="0"/>
            <wp:wrapSquare wrapText="bothSides"/>
            <wp:docPr id="133" name="Immagine 124" descr="Terapeuon-Antica 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4" descr="Terapeuon-Antica Sion"/>
                    <pic:cNvPicPr>
                      <a:picLocks noChangeAspect="1" noChangeArrowheads="1"/>
                    </pic:cNvPicPr>
                  </pic:nvPicPr>
                  <pic:blipFill>
                    <a:blip r:embed="rId25"/>
                    <a:srcRect/>
                    <a:stretch>
                      <a:fillRect/>
                    </a:stretch>
                  </pic:blipFill>
                  <pic:spPr bwMode="auto">
                    <a:xfrm>
                      <a:off x="0" y="0"/>
                      <a:ext cx="3067685" cy="2054225"/>
                    </a:xfrm>
                    <a:prstGeom prst="rect">
                      <a:avLst/>
                    </a:prstGeom>
                    <a:noFill/>
                  </pic:spPr>
                </pic:pic>
              </a:graphicData>
            </a:graphic>
          </wp:anchor>
        </w:drawing>
      </w:r>
      <w:r w:rsidR="00C4085C" w:rsidRPr="00C4085C">
        <w:rPr>
          <w:noProof/>
        </w:rPr>
        <w:pict>
          <v:shape id="_x0000_s1156" type="#_x0000_t202" style="position:absolute;left:0;text-align:left;margin-left:-2.1pt;margin-top:150.25pt;width:132.7pt;height:10.75pt;z-index:251625472;mso-position-horizontal-relative:text;mso-position-vertical-relative:text" stroked="f">
            <v:textbox inset="0,0,0,0">
              <w:txbxContent>
                <w:p w:rsidR="00AC06D4" w:rsidRPr="00655798" w:rsidRDefault="00AC06D4" w:rsidP="007F37C6">
                  <w:pPr>
                    <w:pStyle w:val="Didascalia"/>
                    <w:jc w:val="center"/>
                    <w:rPr>
                      <w:noProof/>
                    </w:rPr>
                  </w:pPr>
                  <w:r>
                    <w:t>Raffaelli: Davide penitente</w:t>
                  </w:r>
                </w:p>
              </w:txbxContent>
            </v:textbox>
            <w10:wrap type="square"/>
          </v:shape>
        </w:pict>
      </w:r>
      <w:r w:rsidR="00ED02CA">
        <w:rPr>
          <w:rFonts w:ascii="Times New Roman" w:hAnsi="Times New Roman"/>
          <w:szCs w:val="24"/>
        </w:rPr>
        <w:t xml:space="preserve">Davide fu fortunato </w:t>
      </w:r>
      <w:r w:rsidR="00ED02CA">
        <w:rPr>
          <w:rFonts w:ascii="Times New Roman" w:hAnsi="Times New Roman"/>
          <w:b/>
          <w:szCs w:val="24"/>
        </w:rPr>
        <w:t>in guerra,</w:t>
      </w:r>
      <w:r w:rsidR="00ED02CA">
        <w:rPr>
          <w:rFonts w:ascii="Times New Roman" w:hAnsi="Times New Roman"/>
          <w:szCs w:val="24"/>
        </w:rPr>
        <w:t xml:space="preserve"> perché riuscì a sconfiggere definitivamente i Filistei e a conquistare l’intero territorio palestinese, ma fu sfortunato </w:t>
      </w:r>
      <w:r w:rsidR="00ED02CA">
        <w:rPr>
          <w:rFonts w:ascii="Times New Roman" w:hAnsi="Times New Roman"/>
          <w:b/>
          <w:szCs w:val="24"/>
        </w:rPr>
        <w:t>in famiglia</w:t>
      </w:r>
      <w:r w:rsidR="00ED02CA">
        <w:rPr>
          <w:rFonts w:ascii="Times New Roman" w:hAnsi="Times New Roman"/>
          <w:szCs w:val="24"/>
        </w:rPr>
        <w:t xml:space="preserve">, dove ebbe dispiaceri e lutti. Al centro di questa storia dolorosa l’autore del libro pone il grande peccato di Davide: l’adulterio con Bersabea e l’omicidio del marito di lei, Uria (2Sam 11). Da qui iniziarono le disgrazie familiari del re viste come punizioni del suo peccato. Fu il </w:t>
      </w:r>
      <w:r w:rsidR="00ED02CA">
        <w:rPr>
          <w:rFonts w:ascii="Times New Roman" w:hAnsi="Times New Roman"/>
          <w:b/>
          <w:szCs w:val="24"/>
        </w:rPr>
        <w:t>profeta Natan,</w:t>
      </w:r>
      <w:r w:rsidR="00ED02CA">
        <w:rPr>
          <w:rFonts w:ascii="Times New Roman" w:hAnsi="Times New Roman"/>
          <w:szCs w:val="24"/>
        </w:rPr>
        <w:t xml:space="preserve"> che aveva denunciato con coraggio l’odioso crimine, ad annunciargli a nome di Dio: «</w:t>
      </w:r>
      <w:r w:rsidR="00ED02CA">
        <w:rPr>
          <w:rFonts w:ascii="Times New Roman" w:hAnsi="Times New Roman"/>
          <w:i/>
          <w:szCs w:val="24"/>
        </w:rPr>
        <w:t>La spada non si allontanerà mai dalla tua casa, poiché tu mi hai disprezzato. Ecco io sto per suscitare contro di te il male dalla tua stessa famiglia. Poiché tu l’hai  fatto in segreto, io farò questo davanti a tutto Israele e alla luce del sole»</w:t>
      </w:r>
      <w:r w:rsidR="006D346B">
        <w:rPr>
          <w:rFonts w:ascii="Times New Roman" w:hAnsi="Times New Roman"/>
          <w:i/>
          <w:szCs w:val="24"/>
        </w:rPr>
        <w:t xml:space="preserve"> </w:t>
      </w:r>
      <w:r w:rsidR="00ED02CA">
        <w:rPr>
          <w:rFonts w:ascii="Times New Roman" w:hAnsi="Times New Roman"/>
          <w:szCs w:val="24"/>
        </w:rPr>
        <w:t xml:space="preserve">(2Sam 12,10-12). Il racconto dei guai familiari si estende nel libro per ben 8 capitoli: Il </w:t>
      </w:r>
      <w:r w:rsidR="00ED02CA">
        <w:rPr>
          <w:rFonts w:ascii="Times New Roman" w:hAnsi="Times New Roman"/>
          <w:b/>
          <w:szCs w:val="24"/>
        </w:rPr>
        <w:t>figlio avuto da Bersabea</w:t>
      </w:r>
      <w:r w:rsidR="00ED02CA">
        <w:rPr>
          <w:rFonts w:ascii="Times New Roman" w:hAnsi="Times New Roman"/>
          <w:szCs w:val="24"/>
        </w:rPr>
        <w:t xml:space="preserve"> morì appena nato, il </w:t>
      </w:r>
      <w:r w:rsidR="00ED02CA">
        <w:rPr>
          <w:rFonts w:ascii="Times New Roman" w:hAnsi="Times New Roman"/>
          <w:b/>
          <w:szCs w:val="24"/>
        </w:rPr>
        <w:t>figlio Assalonne</w:t>
      </w:r>
      <w:r w:rsidR="00ED02CA">
        <w:rPr>
          <w:rFonts w:ascii="Times New Roman" w:hAnsi="Times New Roman"/>
          <w:szCs w:val="24"/>
        </w:rPr>
        <w:t xml:space="preserve"> uccise il fratello </w:t>
      </w:r>
      <w:r w:rsidR="00ED02CA">
        <w:rPr>
          <w:rFonts w:ascii="Times New Roman" w:hAnsi="Times New Roman"/>
          <w:b/>
          <w:szCs w:val="24"/>
        </w:rPr>
        <w:t xml:space="preserve">Ammon </w:t>
      </w:r>
      <w:r w:rsidR="00ED02CA">
        <w:rPr>
          <w:rFonts w:ascii="Times New Roman" w:hAnsi="Times New Roman"/>
          <w:szCs w:val="24"/>
        </w:rPr>
        <w:t xml:space="preserve">e si ribellò al padre, violò il suo harem e morì appeso con i capelli a un albero, alla fine una ribellione funestò gli ultimi giorni del re (2Sam 13-20). Nei libri di Samuele, Davide è presentato come re umanissimo con la sua magnanimità, con le sue passioni, con le sue debolezze, con i suoi slanci mistici e con i suoi terribili peccati. Lo scrittore non tradisce </w:t>
      </w:r>
      <w:r w:rsidR="00ED02CA">
        <w:rPr>
          <w:rFonts w:ascii="Times New Roman" w:hAnsi="Times New Roman"/>
          <w:b/>
          <w:szCs w:val="24"/>
        </w:rPr>
        <w:t>nessuna idealizzazione, nessun intento adulatorio, è ammirevole la sua obiettività storica e la sua libertà di giudizio.</w:t>
      </w:r>
    </w:p>
    <w:p w:rsidR="00ED02CA" w:rsidRDefault="00ED02CA" w:rsidP="007F37C6">
      <w:pPr>
        <w:jc w:val="both"/>
        <w:rPr>
          <w:rFonts w:ascii="Times New Roman" w:hAnsi="Times New Roman"/>
          <w:szCs w:val="24"/>
        </w:rPr>
      </w:pPr>
      <w:r>
        <w:rPr>
          <w:rFonts w:ascii="Times New Roman" w:hAnsi="Times New Roman"/>
          <w:szCs w:val="24"/>
        </w:rPr>
        <w:t xml:space="preserve"> </w:t>
      </w:r>
    </w:p>
    <w:p w:rsidR="00ED02CA" w:rsidRDefault="00C4085C" w:rsidP="007F37C6">
      <w:pPr>
        <w:ind w:firstLine="708"/>
        <w:jc w:val="both"/>
        <w:rPr>
          <w:rFonts w:ascii="Times New Roman" w:hAnsi="Times New Roman"/>
          <w:szCs w:val="24"/>
        </w:rPr>
      </w:pPr>
      <w:r w:rsidRPr="00C4085C">
        <w:rPr>
          <w:noProof/>
        </w:rPr>
        <w:pict>
          <v:shape id="_x0000_s1158" type="#_x0000_t202" style="position:absolute;left:0;text-align:left;margin-left:240.35pt;margin-top:152.9pt;width:241.55pt;height:9.75pt;z-index:251714560" stroked="f">
            <v:textbox inset="0,0,0,0">
              <w:txbxContent>
                <w:p w:rsidR="00AC06D4" w:rsidRDefault="00AC06D4" w:rsidP="007F37C6">
                  <w:pPr>
                    <w:pStyle w:val="Didascalia"/>
                    <w:jc w:val="center"/>
                    <w:rPr>
                      <w:rFonts w:ascii="Times New Roman" w:hAnsi="Times New Roman"/>
                      <w:noProof/>
                      <w:sz w:val="24"/>
                      <w:szCs w:val="24"/>
                    </w:rPr>
                  </w:pPr>
                  <w:r>
                    <w:t>Plastico: Antica rocca di Gerusalemme</w:t>
                  </w:r>
                </w:p>
              </w:txbxContent>
            </v:textbox>
            <w10:wrap type="square"/>
          </v:shape>
        </w:pict>
      </w:r>
      <w:r w:rsidR="00ED02CA">
        <w:rPr>
          <w:rFonts w:ascii="Times New Roman" w:hAnsi="Times New Roman"/>
          <w:szCs w:val="24"/>
        </w:rPr>
        <w:t xml:space="preserve">David seppe riconoscere umilmente i suoi peccati e ne </w:t>
      </w:r>
      <w:r w:rsidR="00ED02CA">
        <w:rPr>
          <w:rFonts w:ascii="Times New Roman" w:hAnsi="Times New Roman"/>
          <w:b/>
          <w:szCs w:val="24"/>
        </w:rPr>
        <w:t>chiese più volte perdono a Dio</w:t>
      </w:r>
      <w:r w:rsidR="00ED02CA">
        <w:rPr>
          <w:rFonts w:ascii="Times New Roman" w:hAnsi="Times New Roman"/>
          <w:szCs w:val="24"/>
        </w:rPr>
        <w:t xml:space="preserve">: «Ho </w:t>
      </w:r>
      <w:r w:rsidR="00E33DB3">
        <w:rPr>
          <w:noProof/>
        </w:rPr>
        <w:drawing>
          <wp:anchor distT="0" distB="0" distL="114300" distR="114300" simplePos="0" relativeHeight="251624448" behindDoc="0" locked="0" layoutInCell="1" allowOverlap="1">
            <wp:simplePos x="0" y="0"/>
            <wp:positionH relativeFrom="margin">
              <wp:posOffset>-35560</wp:posOffset>
            </wp:positionH>
            <wp:positionV relativeFrom="margin">
              <wp:posOffset>-15875</wp:posOffset>
            </wp:positionV>
            <wp:extent cx="1685290" cy="2274570"/>
            <wp:effectExtent l="19050" t="0" r="0" b="0"/>
            <wp:wrapSquare wrapText="bothSides"/>
            <wp:docPr id="135" name="Immagine 126" descr="Raffaelli. Pentimento di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6" descr="Raffaelli. Pentimento di David"/>
                    <pic:cNvPicPr>
                      <a:picLocks noChangeAspect="1" noChangeArrowheads="1"/>
                    </pic:cNvPicPr>
                  </pic:nvPicPr>
                  <pic:blipFill>
                    <a:blip r:embed="rId26"/>
                    <a:srcRect/>
                    <a:stretch>
                      <a:fillRect/>
                    </a:stretch>
                  </pic:blipFill>
                  <pic:spPr bwMode="auto">
                    <a:xfrm>
                      <a:off x="0" y="0"/>
                      <a:ext cx="1685290" cy="2274570"/>
                    </a:xfrm>
                    <a:prstGeom prst="rect">
                      <a:avLst/>
                    </a:prstGeom>
                    <a:noFill/>
                  </pic:spPr>
                </pic:pic>
              </a:graphicData>
            </a:graphic>
          </wp:anchor>
        </w:drawing>
      </w:r>
      <w:r w:rsidR="00ED02CA">
        <w:rPr>
          <w:rFonts w:ascii="Times New Roman" w:hAnsi="Times New Roman"/>
          <w:szCs w:val="24"/>
        </w:rPr>
        <w:t>peccato contro il Signore!» (2Sam 12,13) e forse per la circostanza fiorì sulle sue labbra lo splendido salmo «</w:t>
      </w:r>
      <w:r w:rsidR="00ED02CA">
        <w:rPr>
          <w:rFonts w:ascii="Times New Roman" w:hAnsi="Times New Roman"/>
          <w:b/>
          <w:szCs w:val="24"/>
        </w:rPr>
        <w:t>Miserere</w:t>
      </w:r>
      <w:r w:rsidR="00ED02CA">
        <w:rPr>
          <w:rFonts w:ascii="Times New Roman" w:hAnsi="Times New Roman"/>
          <w:szCs w:val="24"/>
        </w:rPr>
        <w:t>» che troviamo nel salterio (</w:t>
      </w:r>
      <w:r w:rsidR="00ED02CA">
        <w:rPr>
          <w:rFonts w:ascii="Times New Roman" w:hAnsi="Times New Roman"/>
          <w:b/>
          <w:szCs w:val="24"/>
        </w:rPr>
        <w:t>Sl 51</w:t>
      </w:r>
      <w:r w:rsidR="00ED02CA">
        <w:rPr>
          <w:rFonts w:ascii="Times New Roman" w:hAnsi="Times New Roman"/>
          <w:szCs w:val="24"/>
        </w:rPr>
        <w:t xml:space="preserve">) insieme ad altri componimenti poetici attribuiti al  re. Alla luce di quel pentimento, Dio gli aveva assicurato il suo perdono e gli aveva formulato, per mezzo del profeta Natan, una </w:t>
      </w:r>
      <w:r w:rsidR="00ED02CA">
        <w:rPr>
          <w:rFonts w:ascii="Times New Roman" w:hAnsi="Times New Roman"/>
          <w:b/>
          <w:szCs w:val="24"/>
        </w:rPr>
        <w:t>promessa che comanderà tutto il seguito della storia biblica</w:t>
      </w:r>
      <w:r w:rsidR="00ED02CA">
        <w:rPr>
          <w:rFonts w:ascii="Times New Roman" w:hAnsi="Times New Roman"/>
          <w:szCs w:val="24"/>
        </w:rPr>
        <w:t xml:space="preserve">. Quella promessa faceva seguito al proposito di Davide di costruire un Tempio a Dio nella città di Gerusalemme. Lo stesso David in punto di morte aveva rivelato </w:t>
      </w:r>
      <w:r w:rsidR="00ED02CA">
        <w:rPr>
          <w:rFonts w:ascii="Times New Roman" w:hAnsi="Times New Roman"/>
          <w:b/>
          <w:szCs w:val="24"/>
        </w:rPr>
        <w:t>perché quel suo proposito era andato a vuoto</w:t>
      </w:r>
      <w:r w:rsidR="00ED02CA">
        <w:rPr>
          <w:rFonts w:ascii="Times New Roman" w:hAnsi="Times New Roman"/>
          <w:szCs w:val="24"/>
        </w:rPr>
        <w:t>: «</w:t>
      </w:r>
      <w:r w:rsidR="00ED02CA">
        <w:rPr>
          <w:rFonts w:ascii="Times New Roman" w:hAnsi="Times New Roman"/>
          <w:i/>
          <w:szCs w:val="24"/>
        </w:rPr>
        <w:t>Dio mi disse: Non costruirai una casa al mio nome,</w:t>
      </w:r>
      <w:r w:rsidR="00ED02CA">
        <w:rPr>
          <w:rFonts w:ascii="Times New Roman" w:hAnsi="Times New Roman"/>
          <w:b/>
          <w:i/>
          <w:szCs w:val="24"/>
        </w:rPr>
        <w:t xml:space="preserve"> perché tu sei stato un guerriero e hai versato sangue.</w:t>
      </w:r>
      <w:r w:rsidR="006D346B">
        <w:rPr>
          <w:rFonts w:ascii="Times New Roman" w:hAnsi="Times New Roman"/>
          <w:i/>
          <w:szCs w:val="24"/>
        </w:rPr>
        <w:t xml:space="preserve"> Salomone</w:t>
      </w:r>
      <w:r w:rsidR="00ED02CA">
        <w:rPr>
          <w:rFonts w:ascii="Times New Roman" w:hAnsi="Times New Roman"/>
          <w:i/>
          <w:szCs w:val="24"/>
        </w:rPr>
        <w:t>, tuo figlio, costruirà la mia casa e i mie cortili, perché io mi sono scelto lui come figlio e io gli sarò padre</w:t>
      </w:r>
      <w:r w:rsidR="00ED02CA">
        <w:rPr>
          <w:rFonts w:ascii="Times New Roman" w:hAnsi="Times New Roman"/>
          <w:szCs w:val="24"/>
        </w:rPr>
        <w:t xml:space="preserve">» (1Cr 28,3.6). </w:t>
      </w:r>
    </w:p>
    <w:p w:rsidR="00ED02CA" w:rsidRDefault="00ED02CA" w:rsidP="007F37C6">
      <w:pPr>
        <w:autoSpaceDE w:val="0"/>
        <w:autoSpaceDN w:val="0"/>
        <w:adjustRightInd w:val="0"/>
        <w:ind w:firstLine="225"/>
        <w:jc w:val="both"/>
        <w:rPr>
          <w:rFonts w:ascii="Times New Roman" w:hAnsi="Times New Roman"/>
          <w:szCs w:val="24"/>
        </w:rPr>
      </w:pPr>
    </w:p>
    <w:p w:rsidR="00ED02CA" w:rsidRPr="006D346B" w:rsidRDefault="00ED02CA" w:rsidP="006D346B">
      <w:pPr>
        <w:autoSpaceDE w:val="0"/>
        <w:autoSpaceDN w:val="0"/>
        <w:adjustRightInd w:val="0"/>
        <w:ind w:firstLine="708"/>
        <w:jc w:val="both"/>
        <w:rPr>
          <w:rFonts w:ascii="Times New Roman" w:hAnsi="Times New Roman"/>
          <w:i/>
          <w:color w:val="000000"/>
        </w:rPr>
      </w:pPr>
      <w:r>
        <w:rPr>
          <w:rFonts w:ascii="Times New Roman" w:hAnsi="Times New Roman"/>
          <w:szCs w:val="24"/>
        </w:rPr>
        <w:t xml:space="preserve">Queste parole riproducono l’eco del </w:t>
      </w:r>
      <w:r>
        <w:rPr>
          <w:rFonts w:ascii="Times New Roman" w:hAnsi="Times New Roman"/>
          <w:b/>
          <w:szCs w:val="24"/>
        </w:rPr>
        <w:t>patto stabilito tra Dio e Davide</w:t>
      </w:r>
      <w:r>
        <w:rPr>
          <w:rFonts w:ascii="Times New Roman" w:hAnsi="Times New Roman"/>
          <w:szCs w:val="24"/>
        </w:rPr>
        <w:t xml:space="preserve"> sul futuro della sua famiglia e formulato così da Natan: </w:t>
      </w:r>
      <w:r>
        <w:rPr>
          <w:rFonts w:ascii="Times New Roman" w:hAnsi="Times New Roman"/>
          <w:i/>
        </w:rPr>
        <w:t>«</w:t>
      </w:r>
      <w:r>
        <w:rPr>
          <w:rFonts w:ascii="Times New Roman" w:hAnsi="Times New Roman"/>
          <w:i/>
          <w:color w:val="000000"/>
        </w:rPr>
        <w:t>Così dice il Signore degli esercit</w:t>
      </w:r>
      <w:r w:rsidR="006D346B">
        <w:rPr>
          <w:rFonts w:ascii="Times New Roman" w:hAnsi="Times New Roman"/>
          <w:i/>
          <w:color w:val="000000"/>
        </w:rPr>
        <w:t xml:space="preserve">i: “Io ti ho preso dal pascolo, </w:t>
      </w:r>
      <w:r>
        <w:rPr>
          <w:rFonts w:ascii="Times New Roman" w:hAnsi="Times New Roman"/>
          <w:i/>
          <w:color w:val="000000"/>
        </w:rPr>
        <w:t xml:space="preserve">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w:t>
      </w:r>
      <w:r>
        <w:rPr>
          <w:rFonts w:ascii="Times New Roman" w:hAnsi="Times New Roman"/>
          <w:b/>
          <w:i/>
          <w:color w:val="000000"/>
        </w:rPr>
        <w:t>Il Signore ti annuncia che farà a te una casa</w:t>
      </w:r>
      <w:r>
        <w:rPr>
          <w:rFonts w:ascii="Times New Roman" w:hAnsi="Times New Roman"/>
          <w:i/>
          <w:color w:val="000000"/>
        </w:rPr>
        <w:t xml:space="preserve">.  Quando  i tuoi giorni saranno compiuti e tu dormirai con i tuoi padri, </w:t>
      </w:r>
      <w:r>
        <w:rPr>
          <w:rFonts w:ascii="Times New Roman" w:hAnsi="Times New Roman"/>
          <w:b/>
          <w:i/>
          <w:color w:val="000000"/>
        </w:rPr>
        <w:t>io susciterò un tuo discendente dopo di te</w:t>
      </w:r>
      <w:r>
        <w:rPr>
          <w:rFonts w:ascii="Times New Roman" w:hAnsi="Times New Roman"/>
          <w:i/>
          <w:color w:val="000000"/>
        </w:rPr>
        <w:t xml:space="preserve">, uscito dalle tue viscere , </w:t>
      </w:r>
      <w:r>
        <w:rPr>
          <w:rFonts w:ascii="Times New Roman" w:hAnsi="Times New Roman"/>
          <w:b/>
          <w:i/>
          <w:color w:val="000000"/>
        </w:rPr>
        <w:t>e renderò stabile il suo regno</w:t>
      </w:r>
      <w:r>
        <w:rPr>
          <w:rFonts w:ascii="Times New Roman" w:hAnsi="Times New Roman"/>
          <w:i/>
          <w:color w:val="000000"/>
        </w:rPr>
        <w:t>.  Egli edificherà una casa al mio nome  e io</w:t>
      </w:r>
      <w:r>
        <w:rPr>
          <w:rFonts w:ascii="Times New Roman" w:hAnsi="Times New Roman"/>
          <w:b/>
          <w:i/>
          <w:color w:val="000000"/>
        </w:rPr>
        <w:t xml:space="preserve"> renderò stabile il trono del suo regno per sempre</w:t>
      </w:r>
      <w:r>
        <w:rPr>
          <w:rFonts w:ascii="Times New Roman" w:hAnsi="Times New Roman"/>
          <w:i/>
          <w:color w:val="000000"/>
        </w:rPr>
        <w:t>.</w:t>
      </w:r>
      <w:r>
        <w:rPr>
          <w:rFonts w:ascii="Times New Roman" w:hAnsi="Times New Roman"/>
          <w:b/>
          <w:i/>
          <w:color w:val="000000"/>
        </w:rPr>
        <w:t xml:space="preserve"> Io sarò per lui padre ed egli sarà per me figlio</w:t>
      </w:r>
      <w:r>
        <w:rPr>
          <w:rFonts w:ascii="Times New Roman" w:hAnsi="Times New Roman"/>
          <w:i/>
          <w:color w:val="000000"/>
        </w:rPr>
        <w:t xml:space="preserve"> . Se farà il male, lo colpirò con verga d’uomo e con percosse di figli d’uomo, ma non ritirerò da lui il mio amore, come l’ho ritirato da </w:t>
      </w:r>
      <w:r>
        <w:rPr>
          <w:rFonts w:ascii="Times New Roman" w:hAnsi="Times New Roman"/>
          <w:i/>
          <w:color w:val="000000"/>
        </w:rPr>
        <w:lastRenderedPageBreak/>
        <w:t>Saul, che ho rimosso di fronte a te.</w:t>
      </w:r>
      <w:r>
        <w:rPr>
          <w:rFonts w:ascii="Times New Roman" w:hAnsi="Times New Roman"/>
          <w:b/>
          <w:i/>
          <w:color w:val="000000"/>
        </w:rPr>
        <w:t xml:space="preserve"> La tua casa e il tuo regno saranno saldi per sempre  davanti a te, il tuo trono sarà reso stabile per sempre</w:t>
      </w:r>
      <w:r>
        <w:rPr>
          <w:rFonts w:ascii="Times New Roman" w:hAnsi="Times New Roman"/>
          <w:i/>
          <w:color w:val="000000"/>
        </w:rPr>
        <w:t>”</w:t>
      </w:r>
      <w:r>
        <w:rPr>
          <w:rFonts w:ascii="Times New Roman" w:hAnsi="Times New Roman"/>
          <w:color w:val="000000"/>
          <w:szCs w:val="24"/>
        </w:rPr>
        <w:t xml:space="preserve">(2Sam 7,8-16). A Davide non restò che ringraziare ardentemente il Signore (2Sam 7,18-29). La promessa-patto è ricordata in più </w:t>
      </w:r>
      <w:r>
        <w:rPr>
          <w:rFonts w:ascii="Times New Roman" w:hAnsi="Times New Roman"/>
          <w:b/>
          <w:color w:val="000000"/>
          <w:szCs w:val="24"/>
        </w:rPr>
        <w:t>salmi</w:t>
      </w:r>
      <w:r>
        <w:rPr>
          <w:rFonts w:ascii="Times New Roman" w:hAnsi="Times New Roman"/>
          <w:color w:val="000000"/>
          <w:szCs w:val="24"/>
        </w:rPr>
        <w:t xml:space="preserve"> nel Salterio (Sl 78,70-72; 89.4s.21-38; 132,1-18). Ma soprattutto sarà aggiornata volta per volta dai </w:t>
      </w:r>
      <w:r>
        <w:rPr>
          <w:rFonts w:ascii="Times New Roman" w:hAnsi="Times New Roman"/>
          <w:b/>
          <w:color w:val="000000"/>
          <w:szCs w:val="24"/>
        </w:rPr>
        <w:t>profeti</w:t>
      </w:r>
      <w:r>
        <w:rPr>
          <w:rFonts w:ascii="Times New Roman" w:hAnsi="Times New Roman"/>
          <w:color w:val="000000"/>
          <w:szCs w:val="24"/>
        </w:rPr>
        <w:t xml:space="preserve">  lungo i secoli come Amos 9,11, Isaia 7-11, Michea 5,1-4, Ezechiele 34,23, Geremia 30,9, che vi hanno letto la figura di Gesù Cristo figlio di Davide. </w:t>
      </w: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33DB3" w:rsidP="007F37C6">
      <w:pPr>
        <w:autoSpaceDE w:val="0"/>
        <w:autoSpaceDN w:val="0"/>
        <w:adjustRightInd w:val="0"/>
        <w:ind w:firstLine="708"/>
        <w:jc w:val="both"/>
        <w:rPr>
          <w:rFonts w:ascii="Times New Roman" w:hAnsi="Times New Roman"/>
          <w:color w:val="000000"/>
          <w:szCs w:val="24"/>
        </w:rPr>
      </w:pPr>
      <w:r>
        <w:rPr>
          <w:noProof/>
        </w:rPr>
        <w:drawing>
          <wp:anchor distT="0" distB="0" distL="114300" distR="114300" simplePos="0" relativeHeight="251612160" behindDoc="0" locked="0" layoutInCell="1" allowOverlap="1">
            <wp:simplePos x="0" y="0"/>
            <wp:positionH relativeFrom="margin">
              <wp:posOffset>3729990</wp:posOffset>
            </wp:positionH>
            <wp:positionV relativeFrom="margin">
              <wp:posOffset>1522095</wp:posOffset>
            </wp:positionV>
            <wp:extent cx="1973580" cy="2540000"/>
            <wp:effectExtent l="19050" t="0" r="7620" b="0"/>
            <wp:wrapSquare wrapText="bothSides"/>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
                    <a:srcRect/>
                    <a:stretch>
                      <a:fillRect/>
                    </a:stretch>
                  </pic:blipFill>
                  <pic:spPr bwMode="auto">
                    <a:xfrm>
                      <a:off x="0" y="0"/>
                      <a:ext cx="1973580" cy="2540000"/>
                    </a:xfrm>
                    <a:prstGeom prst="rect">
                      <a:avLst/>
                    </a:prstGeom>
                    <a:noFill/>
                  </pic:spPr>
                </pic:pic>
              </a:graphicData>
            </a:graphic>
          </wp:anchor>
        </w:drawing>
      </w:r>
      <w:r>
        <w:rPr>
          <w:noProof/>
        </w:rPr>
        <w:drawing>
          <wp:anchor distT="0" distB="0" distL="114300" distR="114300" simplePos="0" relativeHeight="251611136" behindDoc="0" locked="0" layoutInCell="1" allowOverlap="1">
            <wp:simplePos x="0" y="0"/>
            <wp:positionH relativeFrom="margin">
              <wp:posOffset>56515</wp:posOffset>
            </wp:positionH>
            <wp:positionV relativeFrom="margin">
              <wp:posOffset>1522095</wp:posOffset>
            </wp:positionV>
            <wp:extent cx="1926590" cy="2602230"/>
            <wp:effectExtent l="19050" t="0" r="0" b="0"/>
            <wp:wrapSquare wrapText="bothSides"/>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a:srcRect/>
                    <a:stretch>
                      <a:fillRect/>
                    </a:stretch>
                  </pic:blipFill>
                  <pic:spPr bwMode="auto">
                    <a:xfrm>
                      <a:off x="0" y="0"/>
                      <a:ext cx="1926590" cy="2602230"/>
                    </a:xfrm>
                    <a:prstGeom prst="rect">
                      <a:avLst/>
                    </a:prstGeom>
                    <a:noFill/>
                  </pic:spPr>
                </pic:pic>
              </a:graphicData>
            </a:graphic>
          </wp:anchor>
        </w:drawing>
      </w: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b/>
          <w:color w:val="000000"/>
          <w:szCs w:val="24"/>
        </w:rPr>
      </w:pPr>
    </w:p>
    <w:p w:rsidR="00ED02CA" w:rsidRDefault="00ED02CA" w:rsidP="007F37C6">
      <w:pPr>
        <w:autoSpaceDE w:val="0"/>
        <w:autoSpaceDN w:val="0"/>
        <w:adjustRightInd w:val="0"/>
        <w:jc w:val="both"/>
        <w:rPr>
          <w:rFonts w:ascii="Times New Roman" w:hAnsi="Times New Roman"/>
          <w:b/>
          <w:color w:val="000000"/>
          <w:szCs w:val="24"/>
        </w:rPr>
      </w:pPr>
    </w:p>
    <w:p w:rsidR="00ED02CA" w:rsidRDefault="00ED02CA" w:rsidP="007F37C6">
      <w:pPr>
        <w:autoSpaceDE w:val="0"/>
        <w:autoSpaceDN w:val="0"/>
        <w:adjustRightInd w:val="0"/>
        <w:jc w:val="both"/>
        <w:rPr>
          <w:rFonts w:ascii="Times New Roman" w:hAnsi="Times New Roman"/>
          <w:b/>
          <w:color w:val="000000"/>
          <w:szCs w:val="24"/>
        </w:rPr>
      </w:pPr>
    </w:p>
    <w:p w:rsidR="00ED02CA" w:rsidRDefault="00ED02CA" w:rsidP="007F37C6">
      <w:pPr>
        <w:autoSpaceDE w:val="0"/>
        <w:autoSpaceDN w:val="0"/>
        <w:adjustRightInd w:val="0"/>
        <w:jc w:val="both"/>
        <w:rPr>
          <w:rFonts w:ascii="Times New Roman" w:hAnsi="Times New Roman"/>
          <w:b/>
          <w:color w:val="000000"/>
          <w:szCs w:val="24"/>
        </w:rPr>
      </w:pPr>
    </w:p>
    <w:p w:rsidR="00ED02CA" w:rsidRDefault="00ED02CA" w:rsidP="007F37C6">
      <w:pPr>
        <w:autoSpaceDE w:val="0"/>
        <w:autoSpaceDN w:val="0"/>
        <w:adjustRightInd w:val="0"/>
        <w:jc w:val="both"/>
        <w:rPr>
          <w:rFonts w:ascii="Times New Roman" w:hAnsi="Times New Roman"/>
          <w:b/>
          <w:color w:val="000000"/>
          <w:szCs w:val="24"/>
        </w:rPr>
      </w:pPr>
    </w:p>
    <w:p w:rsidR="00ED02CA" w:rsidRDefault="00ED02CA" w:rsidP="007F37C6">
      <w:pPr>
        <w:autoSpaceDE w:val="0"/>
        <w:autoSpaceDN w:val="0"/>
        <w:adjustRightInd w:val="0"/>
        <w:jc w:val="both"/>
        <w:rPr>
          <w:rFonts w:ascii="Times New Roman" w:hAnsi="Times New Roman"/>
          <w:b/>
          <w:color w:val="000000"/>
          <w:szCs w:val="24"/>
        </w:rPr>
      </w:pPr>
    </w:p>
    <w:p w:rsidR="00ED02CA" w:rsidRDefault="00ED02CA" w:rsidP="007F37C6">
      <w:pPr>
        <w:autoSpaceDE w:val="0"/>
        <w:autoSpaceDN w:val="0"/>
        <w:adjustRightInd w:val="0"/>
        <w:jc w:val="both"/>
        <w:rPr>
          <w:rFonts w:ascii="Times New Roman" w:hAnsi="Times New Roman"/>
          <w:b/>
          <w:color w:val="000000"/>
          <w:szCs w:val="24"/>
        </w:rPr>
      </w:pPr>
    </w:p>
    <w:p w:rsidR="00ED02CA" w:rsidRPr="005313D6" w:rsidRDefault="00ED02CA" w:rsidP="007F37C6">
      <w:pPr>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Pr="00E017EF" w:rsidRDefault="00ED02CA" w:rsidP="00225567">
      <w:pPr>
        <w:ind w:right="-1"/>
        <w:jc w:val="both"/>
        <w:rPr>
          <w:rFonts w:ascii="Times New Roman" w:hAnsi="Times New Roman"/>
          <w:szCs w:val="24"/>
        </w:rPr>
      </w:pPr>
    </w:p>
    <w:sectPr w:rsidR="00ED02CA" w:rsidRPr="00E017EF" w:rsidSect="006E3F79">
      <w:footerReference w:type="default" r:id="rId29"/>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215" w:rsidRPr="00F474CA" w:rsidRDefault="00466215" w:rsidP="00B45E57">
      <w:r w:rsidRPr="00F474CA">
        <w:separator/>
      </w:r>
    </w:p>
  </w:endnote>
  <w:endnote w:type="continuationSeparator" w:id="0">
    <w:p w:rsidR="00466215" w:rsidRPr="00F474CA" w:rsidRDefault="00466215" w:rsidP="00B45E57">
      <w:r w:rsidRPr="00F474CA">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D4" w:rsidRPr="00F474CA" w:rsidRDefault="00C4085C">
    <w:pPr>
      <w:pStyle w:val="Pidipagina"/>
      <w:jc w:val="center"/>
    </w:pPr>
    <w:fldSimple w:instr=" PAGE   \* MERGEFORMAT ">
      <w:r w:rsidR="00225567">
        <w:rPr>
          <w:noProof/>
        </w:rPr>
        <w:t>13</w:t>
      </w:r>
    </w:fldSimple>
  </w:p>
  <w:p w:rsidR="00AC06D4" w:rsidRPr="00F474CA" w:rsidRDefault="00AC06D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215" w:rsidRPr="00F474CA" w:rsidRDefault="00466215" w:rsidP="00B45E57">
      <w:r w:rsidRPr="00F474CA">
        <w:separator/>
      </w:r>
    </w:p>
  </w:footnote>
  <w:footnote w:type="continuationSeparator" w:id="0">
    <w:p w:rsidR="00466215" w:rsidRPr="00F474CA" w:rsidRDefault="00466215" w:rsidP="00B45E57">
      <w:r w:rsidRPr="00F474CA">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4B44"/>
    <w:multiLevelType w:val="singleLevel"/>
    <w:tmpl w:val="81923DDA"/>
    <w:lvl w:ilvl="0">
      <w:start w:val="1"/>
      <w:numFmt w:val="decimal"/>
      <w:lvlText w:val="%1."/>
      <w:lvlJc w:val="left"/>
      <w:pPr>
        <w:tabs>
          <w:tab w:val="num" w:pos="360"/>
        </w:tabs>
        <w:ind w:left="360" w:hanging="360"/>
      </w:pPr>
      <w:rPr>
        <w:rFonts w:cs="Times New Roman"/>
        <w:sz w:val="24"/>
      </w:rPr>
    </w:lvl>
  </w:abstractNum>
  <w:abstractNum w:abstractNumId="1">
    <w:nsid w:val="03950EAD"/>
    <w:multiLevelType w:val="hybridMultilevel"/>
    <w:tmpl w:val="4B14D2A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
    <w:nsid w:val="0A0A4BA5"/>
    <w:multiLevelType w:val="hybridMultilevel"/>
    <w:tmpl w:val="1A9C4DFC"/>
    <w:lvl w:ilvl="0" w:tplc="5F06CAD6">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0D291D6B"/>
    <w:multiLevelType w:val="hybridMultilevel"/>
    <w:tmpl w:val="6C487DE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3111E0D"/>
    <w:multiLevelType w:val="hybridMultilevel"/>
    <w:tmpl w:val="7122B952"/>
    <w:lvl w:ilvl="0" w:tplc="49E0AC4C">
      <w:start w:val="1"/>
      <w:numFmt w:val="decimal"/>
      <w:lvlText w:val="%1."/>
      <w:lvlJc w:val="left"/>
      <w:pPr>
        <w:ind w:left="1494" w:hanging="360"/>
      </w:pPr>
      <w:rPr>
        <w:rFonts w:cs="Times New Roman" w:hint="default"/>
      </w:rPr>
    </w:lvl>
    <w:lvl w:ilvl="1" w:tplc="04100019" w:tentative="1">
      <w:start w:val="1"/>
      <w:numFmt w:val="lowerLetter"/>
      <w:lvlText w:val="%2."/>
      <w:lvlJc w:val="left"/>
      <w:pPr>
        <w:ind w:left="2214" w:hanging="360"/>
      </w:pPr>
      <w:rPr>
        <w:rFonts w:cs="Times New Roman"/>
      </w:rPr>
    </w:lvl>
    <w:lvl w:ilvl="2" w:tplc="0410001B" w:tentative="1">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5">
    <w:nsid w:val="28935945"/>
    <w:multiLevelType w:val="hybridMultilevel"/>
    <w:tmpl w:val="6A468E2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2A9975B2"/>
    <w:multiLevelType w:val="hybridMultilevel"/>
    <w:tmpl w:val="8BC47BE0"/>
    <w:lvl w:ilvl="0" w:tplc="615A397A">
      <w:start w:val="1"/>
      <w:numFmt w:val="decimal"/>
      <w:lvlText w:val="%1."/>
      <w:lvlJc w:val="left"/>
      <w:pPr>
        <w:ind w:left="1080" w:hanging="360"/>
      </w:pPr>
      <w:rPr>
        <w:rFonts w:ascii="Times New Roman" w:eastAsia="Times New Roman" w:hAnsi="Times New Roman"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7">
    <w:nsid w:val="2C4512E2"/>
    <w:multiLevelType w:val="hybridMultilevel"/>
    <w:tmpl w:val="57E432C4"/>
    <w:lvl w:ilvl="0" w:tplc="1ED639AE">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
    <w:nsid w:val="2CBE25C5"/>
    <w:multiLevelType w:val="singleLevel"/>
    <w:tmpl w:val="75908B4C"/>
    <w:lvl w:ilvl="0">
      <w:start w:val="1"/>
      <w:numFmt w:val="bullet"/>
      <w:lvlText w:val="-"/>
      <w:lvlJc w:val="left"/>
      <w:pPr>
        <w:tabs>
          <w:tab w:val="num" w:pos="720"/>
        </w:tabs>
        <w:ind w:left="720" w:hanging="360"/>
      </w:pPr>
      <w:rPr>
        <w:b/>
      </w:rPr>
    </w:lvl>
  </w:abstractNum>
  <w:abstractNum w:abstractNumId="9">
    <w:nsid w:val="38820186"/>
    <w:multiLevelType w:val="hybridMultilevel"/>
    <w:tmpl w:val="71765948"/>
    <w:lvl w:ilvl="0" w:tplc="BE2063E2">
      <w:start w:val="1"/>
      <w:numFmt w:val="decimal"/>
      <w:lvlText w:val="%1."/>
      <w:lvlJc w:val="left"/>
      <w:pPr>
        <w:ind w:left="885" w:hanging="360"/>
      </w:pPr>
      <w:rPr>
        <w:rFonts w:cs="Times New Roman" w:hint="default"/>
        <w:b/>
        <w:i w:val="0"/>
      </w:rPr>
    </w:lvl>
    <w:lvl w:ilvl="1" w:tplc="04100019">
      <w:start w:val="1"/>
      <w:numFmt w:val="lowerLetter"/>
      <w:lvlText w:val="%2."/>
      <w:lvlJc w:val="left"/>
      <w:pPr>
        <w:ind w:left="1605" w:hanging="360"/>
      </w:pPr>
      <w:rPr>
        <w:rFonts w:cs="Times New Roman"/>
      </w:rPr>
    </w:lvl>
    <w:lvl w:ilvl="2" w:tplc="0410001B" w:tentative="1">
      <w:start w:val="1"/>
      <w:numFmt w:val="lowerRoman"/>
      <w:lvlText w:val="%3."/>
      <w:lvlJc w:val="right"/>
      <w:pPr>
        <w:ind w:left="2325" w:hanging="180"/>
      </w:pPr>
      <w:rPr>
        <w:rFonts w:cs="Times New Roman"/>
      </w:rPr>
    </w:lvl>
    <w:lvl w:ilvl="3" w:tplc="0410000F" w:tentative="1">
      <w:start w:val="1"/>
      <w:numFmt w:val="decimal"/>
      <w:lvlText w:val="%4."/>
      <w:lvlJc w:val="left"/>
      <w:pPr>
        <w:ind w:left="3045" w:hanging="360"/>
      </w:pPr>
      <w:rPr>
        <w:rFonts w:cs="Times New Roman"/>
      </w:rPr>
    </w:lvl>
    <w:lvl w:ilvl="4" w:tplc="04100019" w:tentative="1">
      <w:start w:val="1"/>
      <w:numFmt w:val="lowerLetter"/>
      <w:lvlText w:val="%5."/>
      <w:lvlJc w:val="left"/>
      <w:pPr>
        <w:ind w:left="3765" w:hanging="360"/>
      </w:pPr>
      <w:rPr>
        <w:rFonts w:cs="Times New Roman"/>
      </w:rPr>
    </w:lvl>
    <w:lvl w:ilvl="5" w:tplc="0410001B" w:tentative="1">
      <w:start w:val="1"/>
      <w:numFmt w:val="lowerRoman"/>
      <w:lvlText w:val="%6."/>
      <w:lvlJc w:val="right"/>
      <w:pPr>
        <w:ind w:left="4485" w:hanging="180"/>
      </w:pPr>
      <w:rPr>
        <w:rFonts w:cs="Times New Roman"/>
      </w:rPr>
    </w:lvl>
    <w:lvl w:ilvl="6" w:tplc="0410000F" w:tentative="1">
      <w:start w:val="1"/>
      <w:numFmt w:val="decimal"/>
      <w:lvlText w:val="%7."/>
      <w:lvlJc w:val="left"/>
      <w:pPr>
        <w:ind w:left="5205" w:hanging="360"/>
      </w:pPr>
      <w:rPr>
        <w:rFonts w:cs="Times New Roman"/>
      </w:rPr>
    </w:lvl>
    <w:lvl w:ilvl="7" w:tplc="04100019" w:tentative="1">
      <w:start w:val="1"/>
      <w:numFmt w:val="lowerLetter"/>
      <w:lvlText w:val="%8."/>
      <w:lvlJc w:val="left"/>
      <w:pPr>
        <w:ind w:left="5925" w:hanging="360"/>
      </w:pPr>
      <w:rPr>
        <w:rFonts w:cs="Times New Roman"/>
      </w:rPr>
    </w:lvl>
    <w:lvl w:ilvl="8" w:tplc="0410001B" w:tentative="1">
      <w:start w:val="1"/>
      <w:numFmt w:val="lowerRoman"/>
      <w:lvlText w:val="%9."/>
      <w:lvlJc w:val="right"/>
      <w:pPr>
        <w:ind w:left="6645" w:hanging="180"/>
      </w:pPr>
      <w:rPr>
        <w:rFonts w:cs="Times New Roman"/>
      </w:rPr>
    </w:lvl>
  </w:abstractNum>
  <w:abstractNum w:abstractNumId="10">
    <w:nsid w:val="38CB7793"/>
    <w:multiLevelType w:val="hybridMultilevel"/>
    <w:tmpl w:val="47CA7300"/>
    <w:lvl w:ilvl="0" w:tplc="615A397A">
      <w:start w:val="1"/>
      <w:numFmt w:val="decimal"/>
      <w:lvlText w:val="%1."/>
      <w:lvlJc w:val="left"/>
      <w:pPr>
        <w:ind w:left="1800" w:hanging="360"/>
      </w:pPr>
      <w:rPr>
        <w:rFonts w:ascii="Times New Roman" w:eastAsia="Times New Roman" w:hAnsi="Times New Roman"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1">
    <w:nsid w:val="3AF50DFF"/>
    <w:multiLevelType w:val="hybridMultilevel"/>
    <w:tmpl w:val="DAD4856E"/>
    <w:lvl w:ilvl="0" w:tplc="13FAA97E">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E0C01BF"/>
    <w:multiLevelType w:val="hybridMultilevel"/>
    <w:tmpl w:val="C7D4B918"/>
    <w:lvl w:ilvl="0" w:tplc="727A4AB0">
      <w:start w:val="1"/>
      <w:numFmt w:val="decimal"/>
      <w:lvlText w:val="%1."/>
      <w:lvlJc w:val="left"/>
      <w:pPr>
        <w:ind w:left="1114" w:hanging="360"/>
      </w:pPr>
      <w:rPr>
        <w:rFonts w:cs="Times New Roman" w:hint="default"/>
        <w:b/>
      </w:rPr>
    </w:lvl>
    <w:lvl w:ilvl="1" w:tplc="04100019" w:tentative="1">
      <w:start w:val="1"/>
      <w:numFmt w:val="lowerLetter"/>
      <w:lvlText w:val="%2."/>
      <w:lvlJc w:val="left"/>
      <w:pPr>
        <w:ind w:left="1834" w:hanging="360"/>
      </w:pPr>
      <w:rPr>
        <w:rFonts w:cs="Times New Roman"/>
      </w:rPr>
    </w:lvl>
    <w:lvl w:ilvl="2" w:tplc="0410001B" w:tentative="1">
      <w:start w:val="1"/>
      <w:numFmt w:val="lowerRoman"/>
      <w:lvlText w:val="%3."/>
      <w:lvlJc w:val="right"/>
      <w:pPr>
        <w:ind w:left="2554" w:hanging="180"/>
      </w:pPr>
      <w:rPr>
        <w:rFonts w:cs="Times New Roman"/>
      </w:rPr>
    </w:lvl>
    <w:lvl w:ilvl="3" w:tplc="0410000F" w:tentative="1">
      <w:start w:val="1"/>
      <w:numFmt w:val="decimal"/>
      <w:lvlText w:val="%4."/>
      <w:lvlJc w:val="left"/>
      <w:pPr>
        <w:ind w:left="3274" w:hanging="360"/>
      </w:pPr>
      <w:rPr>
        <w:rFonts w:cs="Times New Roman"/>
      </w:rPr>
    </w:lvl>
    <w:lvl w:ilvl="4" w:tplc="04100019" w:tentative="1">
      <w:start w:val="1"/>
      <w:numFmt w:val="lowerLetter"/>
      <w:lvlText w:val="%5."/>
      <w:lvlJc w:val="left"/>
      <w:pPr>
        <w:ind w:left="3994" w:hanging="360"/>
      </w:pPr>
      <w:rPr>
        <w:rFonts w:cs="Times New Roman"/>
      </w:rPr>
    </w:lvl>
    <w:lvl w:ilvl="5" w:tplc="0410001B" w:tentative="1">
      <w:start w:val="1"/>
      <w:numFmt w:val="lowerRoman"/>
      <w:lvlText w:val="%6."/>
      <w:lvlJc w:val="right"/>
      <w:pPr>
        <w:ind w:left="4714" w:hanging="180"/>
      </w:pPr>
      <w:rPr>
        <w:rFonts w:cs="Times New Roman"/>
      </w:rPr>
    </w:lvl>
    <w:lvl w:ilvl="6" w:tplc="0410000F" w:tentative="1">
      <w:start w:val="1"/>
      <w:numFmt w:val="decimal"/>
      <w:lvlText w:val="%7."/>
      <w:lvlJc w:val="left"/>
      <w:pPr>
        <w:ind w:left="5434" w:hanging="360"/>
      </w:pPr>
      <w:rPr>
        <w:rFonts w:cs="Times New Roman"/>
      </w:rPr>
    </w:lvl>
    <w:lvl w:ilvl="7" w:tplc="04100019" w:tentative="1">
      <w:start w:val="1"/>
      <w:numFmt w:val="lowerLetter"/>
      <w:lvlText w:val="%8."/>
      <w:lvlJc w:val="left"/>
      <w:pPr>
        <w:ind w:left="6154" w:hanging="360"/>
      </w:pPr>
      <w:rPr>
        <w:rFonts w:cs="Times New Roman"/>
      </w:rPr>
    </w:lvl>
    <w:lvl w:ilvl="8" w:tplc="0410001B" w:tentative="1">
      <w:start w:val="1"/>
      <w:numFmt w:val="lowerRoman"/>
      <w:lvlText w:val="%9."/>
      <w:lvlJc w:val="right"/>
      <w:pPr>
        <w:ind w:left="6874" w:hanging="180"/>
      </w:pPr>
      <w:rPr>
        <w:rFonts w:cs="Times New Roman"/>
      </w:rPr>
    </w:lvl>
  </w:abstractNum>
  <w:abstractNum w:abstractNumId="13">
    <w:nsid w:val="43D805FC"/>
    <w:multiLevelType w:val="hybridMultilevel"/>
    <w:tmpl w:val="15687B1C"/>
    <w:lvl w:ilvl="0" w:tplc="C77C9754">
      <w:start w:val="1"/>
      <w:numFmt w:val="decimal"/>
      <w:lvlText w:val="%1."/>
      <w:lvlJc w:val="left"/>
      <w:pPr>
        <w:ind w:left="1614" w:hanging="360"/>
      </w:pPr>
      <w:rPr>
        <w:rFonts w:cs="Times New Roman" w:hint="default"/>
      </w:rPr>
    </w:lvl>
    <w:lvl w:ilvl="1" w:tplc="04100019" w:tentative="1">
      <w:start w:val="1"/>
      <w:numFmt w:val="lowerLetter"/>
      <w:lvlText w:val="%2."/>
      <w:lvlJc w:val="left"/>
      <w:pPr>
        <w:ind w:left="2334" w:hanging="360"/>
      </w:pPr>
      <w:rPr>
        <w:rFonts w:cs="Times New Roman"/>
      </w:rPr>
    </w:lvl>
    <w:lvl w:ilvl="2" w:tplc="0410001B" w:tentative="1">
      <w:start w:val="1"/>
      <w:numFmt w:val="lowerRoman"/>
      <w:lvlText w:val="%3."/>
      <w:lvlJc w:val="right"/>
      <w:pPr>
        <w:ind w:left="3054" w:hanging="180"/>
      </w:pPr>
      <w:rPr>
        <w:rFonts w:cs="Times New Roman"/>
      </w:rPr>
    </w:lvl>
    <w:lvl w:ilvl="3" w:tplc="0410000F" w:tentative="1">
      <w:start w:val="1"/>
      <w:numFmt w:val="decimal"/>
      <w:lvlText w:val="%4."/>
      <w:lvlJc w:val="left"/>
      <w:pPr>
        <w:ind w:left="3774" w:hanging="360"/>
      </w:pPr>
      <w:rPr>
        <w:rFonts w:cs="Times New Roman"/>
      </w:rPr>
    </w:lvl>
    <w:lvl w:ilvl="4" w:tplc="04100019" w:tentative="1">
      <w:start w:val="1"/>
      <w:numFmt w:val="lowerLetter"/>
      <w:lvlText w:val="%5."/>
      <w:lvlJc w:val="left"/>
      <w:pPr>
        <w:ind w:left="4494" w:hanging="360"/>
      </w:pPr>
      <w:rPr>
        <w:rFonts w:cs="Times New Roman"/>
      </w:rPr>
    </w:lvl>
    <w:lvl w:ilvl="5" w:tplc="0410001B" w:tentative="1">
      <w:start w:val="1"/>
      <w:numFmt w:val="lowerRoman"/>
      <w:lvlText w:val="%6."/>
      <w:lvlJc w:val="right"/>
      <w:pPr>
        <w:ind w:left="5214" w:hanging="180"/>
      </w:pPr>
      <w:rPr>
        <w:rFonts w:cs="Times New Roman"/>
      </w:rPr>
    </w:lvl>
    <w:lvl w:ilvl="6" w:tplc="0410000F" w:tentative="1">
      <w:start w:val="1"/>
      <w:numFmt w:val="decimal"/>
      <w:lvlText w:val="%7."/>
      <w:lvlJc w:val="left"/>
      <w:pPr>
        <w:ind w:left="5934" w:hanging="360"/>
      </w:pPr>
      <w:rPr>
        <w:rFonts w:cs="Times New Roman"/>
      </w:rPr>
    </w:lvl>
    <w:lvl w:ilvl="7" w:tplc="04100019" w:tentative="1">
      <w:start w:val="1"/>
      <w:numFmt w:val="lowerLetter"/>
      <w:lvlText w:val="%8."/>
      <w:lvlJc w:val="left"/>
      <w:pPr>
        <w:ind w:left="6654" w:hanging="360"/>
      </w:pPr>
      <w:rPr>
        <w:rFonts w:cs="Times New Roman"/>
      </w:rPr>
    </w:lvl>
    <w:lvl w:ilvl="8" w:tplc="0410001B" w:tentative="1">
      <w:start w:val="1"/>
      <w:numFmt w:val="lowerRoman"/>
      <w:lvlText w:val="%9."/>
      <w:lvlJc w:val="right"/>
      <w:pPr>
        <w:ind w:left="7374" w:hanging="180"/>
      </w:pPr>
      <w:rPr>
        <w:rFonts w:cs="Times New Roman"/>
      </w:rPr>
    </w:lvl>
  </w:abstractNum>
  <w:abstractNum w:abstractNumId="14">
    <w:nsid w:val="44633AC7"/>
    <w:multiLevelType w:val="hybridMultilevel"/>
    <w:tmpl w:val="27F2E4AE"/>
    <w:lvl w:ilvl="0" w:tplc="EDD47E64">
      <w:start w:val="3"/>
      <w:numFmt w:val="decimal"/>
      <w:lvlText w:val="%1"/>
      <w:lvlJc w:val="left"/>
      <w:pPr>
        <w:ind w:left="1674" w:hanging="360"/>
      </w:pPr>
      <w:rPr>
        <w:rFonts w:cs="Times New Roman" w:hint="default"/>
      </w:rPr>
    </w:lvl>
    <w:lvl w:ilvl="1" w:tplc="04100019" w:tentative="1">
      <w:start w:val="1"/>
      <w:numFmt w:val="lowerLetter"/>
      <w:lvlText w:val="%2."/>
      <w:lvlJc w:val="left"/>
      <w:pPr>
        <w:ind w:left="2394" w:hanging="360"/>
      </w:pPr>
      <w:rPr>
        <w:rFonts w:cs="Times New Roman"/>
      </w:rPr>
    </w:lvl>
    <w:lvl w:ilvl="2" w:tplc="0410001B" w:tentative="1">
      <w:start w:val="1"/>
      <w:numFmt w:val="lowerRoman"/>
      <w:lvlText w:val="%3."/>
      <w:lvlJc w:val="right"/>
      <w:pPr>
        <w:ind w:left="3114" w:hanging="180"/>
      </w:pPr>
      <w:rPr>
        <w:rFonts w:cs="Times New Roman"/>
      </w:rPr>
    </w:lvl>
    <w:lvl w:ilvl="3" w:tplc="0410000F" w:tentative="1">
      <w:start w:val="1"/>
      <w:numFmt w:val="decimal"/>
      <w:lvlText w:val="%4."/>
      <w:lvlJc w:val="left"/>
      <w:pPr>
        <w:ind w:left="3834" w:hanging="360"/>
      </w:pPr>
      <w:rPr>
        <w:rFonts w:cs="Times New Roman"/>
      </w:rPr>
    </w:lvl>
    <w:lvl w:ilvl="4" w:tplc="04100019" w:tentative="1">
      <w:start w:val="1"/>
      <w:numFmt w:val="lowerLetter"/>
      <w:lvlText w:val="%5."/>
      <w:lvlJc w:val="left"/>
      <w:pPr>
        <w:ind w:left="4554" w:hanging="360"/>
      </w:pPr>
      <w:rPr>
        <w:rFonts w:cs="Times New Roman"/>
      </w:rPr>
    </w:lvl>
    <w:lvl w:ilvl="5" w:tplc="0410001B" w:tentative="1">
      <w:start w:val="1"/>
      <w:numFmt w:val="lowerRoman"/>
      <w:lvlText w:val="%6."/>
      <w:lvlJc w:val="right"/>
      <w:pPr>
        <w:ind w:left="5274" w:hanging="180"/>
      </w:pPr>
      <w:rPr>
        <w:rFonts w:cs="Times New Roman"/>
      </w:rPr>
    </w:lvl>
    <w:lvl w:ilvl="6" w:tplc="0410000F" w:tentative="1">
      <w:start w:val="1"/>
      <w:numFmt w:val="decimal"/>
      <w:lvlText w:val="%7."/>
      <w:lvlJc w:val="left"/>
      <w:pPr>
        <w:ind w:left="5994" w:hanging="360"/>
      </w:pPr>
      <w:rPr>
        <w:rFonts w:cs="Times New Roman"/>
      </w:rPr>
    </w:lvl>
    <w:lvl w:ilvl="7" w:tplc="04100019" w:tentative="1">
      <w:start w:val="1"/>
      <w:numFmt w:val="lowerLetter"/>
      <w:lvlText w:val="%8."/>
      <w:lvlJc w:val="left"/>
      <w:pPr>
        <w:ind w:left="6714" w:hanging="360"/>
      </w:pPr>
      <w:rPr>
        <w:rFonts w:cs="Times New Roman"/>
      </w:rPr>
    </w:lvl>
    <w:lvl w:ilvl="8" w:tplc="0410001B" w:tentative="1">
      <w:start w:val="1"/>
      <w:numFmt w:val="lowerRoman"/>
      <w:lvlText w:val="%9."/>
      <w:lvlJc w:val="right"/>
      <w:pPr>
        <w:ind w:left="7434" w:hanging="180"/>
      </w:pPr>
      <w:rPr>
        <w:rFonts w:cs="Times New Roman"/>
      </w:rPr>
    </w:lvl>
  </w:abstractNum>
  <w:abstractNum w:abstractNumId="15">
    <w:nsid w:val="49EA596C"/>
    <w:multiLevelType w:val="singleLevel"/>
    <w:tmpl w:val="745455CC"/>
    <w:lvl w:ilvl="0">
      <w:start w:val="1"/>
      <w:numFmt w:val="decimal"/>
      <w:lvlText w:val="%1."/>
      <w:lvlJc w:val="left"/>
      <w:pPr>
        <w:tabs>
          <w:tab w:val="num" w:pos="480"/>
        </w:tabs>
        <w:ind w:left="480" w:hanging="360"/>
      </w:pPr>
      <w:rPr>
        <w:rFonts w:cs="Times New Roman"/>
        <w:b/>
        <w:u w:val="single"/>
      </w:rPr>
    </w:lvl>
  </w:abstractNum>
  <w:abstractNum w:abstractNumId="16">
    <w:nsid w:val="4C331757"/>
    <w:multiLevelType w:val="hybridMultilevel"/>
    <w:tmpl w:val="F95CC1AE"/>
    <w:lvl w:ilvl="0" w:tplc="23CA4148">
      <w:start w:val="1"/>
      <w:numFmt w:val="decimal"/>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abstractNum w:abstractNumId="17">
    <w:nsid w:val="4E666C9D"/>
    <w:multiLevelType w:val="hybridMultilevel"/>
    <w:tmpl w:val="37004350"/>
    <w:lvl w:ilvl="0" w:tplc="F52ADCFC">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54B02D56"/>
    <w:multiLevelType w:val="hybridMultilevel"/>
    <w:tmpl w:val="81D2D7EC"/>
    <w:lvl w:ilvl="0" w:tplc="46EE8792">
      <w:start w:val="1"/>
      <w:numFmt w:val="decimal"/>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9">
    <w:nsid w:val="5A332B3C"/>
    <w:multiLevelType w:val="hybridMultilevel"/>
    <w:tmpl w:val="0D944394"/>
    <w:lvl w:ilvl="0" w:tplc="76541856">
      <w:start w:val="1"/>
      <w:numFmt w:val="decimal"/>
      <w:lvlText w:val="%1."/>
      <w:lvlJc w:val="left"/>
      <w:pPr>
        <w:ind w:left="1080" w:hanging="360"/>
      </w:pPr>
      <w:rPr>
        <w:rFonts w:cs="Times New Roman" w:hint="default"/>
        <w:b/>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0">
    <w:nsid w:val="647C3E5D"/>
    <w:multiLevelType w:val="hybridMultilevel"/>
    <w:tmpl w:val="2D4AB40E"/>
    <w:lvl w:ilvl="0" w:tplc="705E5326">
      <w:start w:val="1"/>
      <w:numFmt w:val="decimal"/>
      <w:lvlText w:val="%1."/>
      <w:lvlJc w:val="left"/>
      <w:pPr>
        <w:ind w:left="1068" w:hanging="360"/>
      </w:pPr>
      <w:rPr>
        <w:rFonts w:cs="Times New Roman" w:hint="default"/>
        <w:b/>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1">
    <w:nsid w:val="679E71A7"/>
    <w:multiLevelType w:val="singleLevel"/>
    <w:tmpl w:val="A49C9534"/>
    <w:lvl w:ilvl="0">
      <w:start w:val="1"/>
      <w:numFmt w:val="decimal"/>
      <w:lvlText w:val="%1."/>
      <w:lvlJc w:val="left"/>
      <w:pPr>
        <w:tabs>
          <w:tab w:val="num" w:pos="360"/>
        </w:tabs>
        <w:ind w:left="360" w:hanging="360"/>
      </w:pPr>
      <w:rPr>
        <w:rFonts w:cs="Times New Roman"/>
        <w:sz w:val="24"/>
      </w:rPr>
    </w:lvl>
  </w:abstractNum>
  <w:abstractNum w:abstractNumId="22">
    <w:nsid w:val="6BA43C14"/>
    <w:multiLevelType w:val="hybridMultilevel"/>
    <w:tmpl w:val="F984D430"/>
    <w:lvl w:ilvl="0" w:tplc="327C0DCE">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6F025F4B"/>
    <w:multiLevelType w:val="hybridMultilevel"/>
    <w:tmpl w:val="7AE4E73E"/>
    <w:lvl w:ilvl="0" w:tplc="D9122562">
      <w:start w:val="1"/>
      <w:numFmt w:val="decimal"/>
      <w:lvlText w:val="%1."/>
      <w:lvlJc w:val="left"/>
      <w:pPr>
        <w:ind w:left="1069" w:hanging="360"/>
      </w:pPr>
      <w:rPr>
        <w:rFonts w:cs="Times New Roman" w:hint="default"/>
        <w:u w:val="single"/>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24">
    <w:nsid w:val="79743BB5"/>
    <w:multiLevelType w:val="hybridMultilevel"/>
    <w:tmpl w:val="E5CC865C"/>
    <w:lvl w:ilvl="0" w:tplc="E4D69A0A">
      <w:start w:val="1"/>
      <w:numFmt w:val="lowerLetter"/>
      <w:lvlText w:val="%1."/>
      <w:lvlJc w:val="left"/>
      <w:pPr>
        <w:ind w:left="1884" w:hanging="360"/>
      </w:pPr>
      <w:rPr>
        <w:rFonts w:cs="Times New Roman" w:hint="default"/>
        <w:b/>
      </w:rPr>
    </w:lvl>
    <w:lvl w:ilvl="1" w:tplc="04100019" w:tentative="1">
      <w:start w:val="1"/>
      <w:numFmt w:val="lowerLetter"/>
      <w:lvlText w:val="%2."/>
      <w:lvlJc w:val="left"/>
      <w:pPr>
        <w:ind w:left="2604" w:hanging="360"/>
      </w:pPr>
      <w:rPr>
        <w:rFonts w:cs="Times New Roman"/>
      </w:rPr>
    </w:lvl>
    <w:lvl w:ilvl="2" w:tplc="0410001B" w:tentative="1">
      <w:start w:val="1"/>
      <w:numFmt w:val="lowerRoman"/>
      <w:lvlText w:val="%3."/>
      <w:lvlJc w:val="right"/>
      <w:pPr>
        <w:ind w:left="3324" w:hanging="180"/>
      </w:pPr>
      <w:rPr>
        <w:rFonts w:cs="Times New Roman"/>
      </w:rPr>
    </w:lvl>
    <w:lvl w:ilvl="3" w:tplc="0410000F" w:tentative="1">
      <w:start w:val="1"/>
      <w:numFmt w:val="decimal"/>
      <w:lvlText w:val="%4."/>
      <w:lvlJc w:val="left"/>
      <w:pPr>
        <w:ind w:left="4044" w:hanging="360"/>
      </w:pPr>
      <w:rPr>
        <w:rFonts w:cs="Times New Roman"/>
      </w:rPr>
    </w:lvl>
    <w:lvl w:ilvl="4" w:tplc="04100019" w:tentative="1">
      <w:start w:val="1"/>
      <w:numFmt w:val="lowerLetter"/>
      <w:lvlText w:val="%5."/>
      <w:lvlJc w:val="left"/>
      <w:pPr>
        <w:ind w:left="4764" w:hanging="360"/>
      </w:pPr>
      <w:rPr>
        <w:rFonts w:cs="Times New Roman"/>
      </w:rPr>
    </w:lvl>
    <w:lvl w:ilvl="5" w:tplc="0410001B" w:tentative="1">
      <w:start w:val="1"/>
      <w:numFmt w:val="lowerRoman"/>
      <w:lvlText w:val="%6."/>
      <w:lvlJc w:val="right"/>
      <w:pPr>
        <w:ind w:left="5484" w:hanging="180"/>
      </w:pPr>
      <w:rPr>
        <w:rFonts w:cs="Times New Roman"/>
      </w:rPr>
    </w:lvl>
    <w:lvl w:ilvl="6" w:tplc="0410000F" w:tentative="1">
      <w:start w:val="1"/>
      <w:numFmt w:val="decimal"/>
      <w:lvlText w:val="%7."/>
      <w:lvlJc w:val="left"/>
      <w:pPr>
        <w:ind w:left="6204" w:hanging="360"/>
      </w:pPr>
      <w:rPr>
        <w:rFonts w:cs="Times New Roman"/>
      </w:rPr>
    </w:lvl>
    <w:lvl w:ilvl="7" w:tplc="04100019" w:tentative="1">
      <w:start w:val="1"/>
      <w:numFmt w:val="lowerLetter"/>
      <w:lvlText w:val="%8."/>
      <w:lvlJc w:val="left"/>
      <w:pPr>
        <w:ind w:left="6924" w:hanging="360"/>
      </w:pPr>
      <w:rPr>
        <w:rFonts w:cs="Times New Roman"/>
      </w:rPr>
    </w:lvl>
    <w:lvl w:ilvl="8" w:tplc="0410001B" w:tentative="1">
      <w:start w:val="1"/>
      <w:numFmt w:val="lowerRoman"/>
      <w:lvlText w:val="%9."/>
      <w:lvlJc w:val="right"/>
      <w:pPr>
        <w:ind w:left="7644" w:hanging="180"/>
      </w:pPr>
      <w:rPr>
        <w:rFonts w:cs="Times New Roman"/>
      </w:rPr>
    </w:lvl>
  </w:abstractNum>
  <w:abstractNum w:abstractNumId="25">
    <w:nsid w:val="7AC35BF6"/>
    <w:multiLevelType w:val="hybridMultilevel"/>
    <w:tmpl w:val="7CD6ACF0"/>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6">
    <w:nsid w:val="7C1C0BE8"/>
    <w:multiLevelType w:val="hybridMultilevel"/>
    <w:tmpl w:val="9D3EC206"/>
    <w:lvl w:ilvl="0" w:tplc="D708F272">
      <w:start w:val="1"/>
      <w:numFmt w:val="decimal"/>
      <w:lvlText w:val="%1."/>
      <w:lvlJc w:val="left"/>
      <w:pPr>
        <w:ind w:left="645" w:hanging="360"/>
      </w:pPr>
      <w:rPr>
        <w:rFonts w:cs="Times New Roman" w:hint="default"/>
      </w:rPr>
    </w:lvl>
    <w:lvl w:ilvl="1" w:tplc="04100019" w:tentative="1">
      <w:start w:val="1"/>
      <w:numFmt w:val="lowerLetter"/>
      <w:lvlText w:val="%2."/>
      <w:lvlJc w:val="left"/>
      <w:pPr>
        <w:ind w:left="1365" w:hanging="360"/>
      </w:pPr>
      <w:rPr>
        <w:rFonts w:cs="Times New Roman"/>
      </w:rPr>
    </w:lvl>
    <w:lvl w:ilvl="2" w:tplc="0410001B" w:tentative="1">
      <w:start w:val="1"/>
      <w:numFmt w:val="lowerRoman"/>
      <w:lvlText w:val="%3."/>
      <w:lvlJc w:val="right"/>
      <w:pPr>
        <w:ind w:left="2085" w:hanging="180"/>
      </w:pPr>
      <w:rPr>
        <w:rFonts w:cs="Times New Roman"/>
      </w:rPr>
    </w:lvl>
    <w:lvl w:ilvl="3" w:tplc="0410000F" w:tentative="1">
      <w:start w:val="1"/>
      <w:numFmt w:val="decimal"/>
      <w:lvlText w:val="%4."/>
      <w:lvlJc w:val="left"/>
      <w:pPr>
        <w:ind w:left="2805" w:hanging="360"/>
      </w:pPr>
      <w:rPr>
        <w:rFonts w:cs="Times New Roman"/>
      </w:rPr>
    </w:lvl>
    <w:lvl w:ilvl="4" w:tplc="04100019" w:tentative="1">
      <w:start w:val="1"/>
      <w:numFmt w:val="lowerLetter"/>
      <w:lvlText w:val="%5."/>
      <w:lvlJc w:val="left"/>
      <w:pPr>
        <w:ind w:left="3525" w:hanging="360"/>
      </w:pPr>
      <w:rPr>
        <w:rFonts w:cs="Times New Roman"/>
      </w:rPr>
    </w:lvl>
    <w:lvl w:ilvl="5" w:tplc="0410001B" w:tentative="1">
      <w:start w:val="1"/>
      <w:numFmt w:val="lowerRoman"/>
      <w:lvlText w:val="%6."/>
      <w:lvlJc w:val="right"/>
      <w:pPr>
        <w:ind w:left="4245" w:hanging="180"/>
      </w:pPr>
      <w:rPr>
        <w:rFonts w:cs="Times New Roman"/>
      </w:rPr>
    </w:lvl>
    <w:lvl w:ilvl="6" w:tplc="0410000F" w:tentative="1">
      <w:start w:val="1"/>
      <w:numFmt w:val="decimal"/>
      <w:lvlText w:val="%7."/>
      <w:lvlJc w:val="left"/>
      <w:pPr>
        <w:ind w:left="4965" w:hanging="360"/>
      </w:pPr>
      <w:rPr>
        <w:rFonts w:cs="Times New Roman"/>
      </w:rPr>
    </w:lvl>
    <w:lvl w:ilvl="7" w:tplc="04100019" w:tentative="1">
      <w:start w:val="1"/>
      <w:numFmt w:val="lowerLetter"/>
      <w:lvlText w:val="%8."/>
      <w:lvlJc w:val="left"/>
      <w:pPr>
        <w:ind w:left="5685" w:hanging="360"/>
      </w:pPr>
      <w:rPr>
        <w:rFonts w:cs="Times New Roman"/>
      </w:rPr>
    </w:lvl>
    <w:lvl w:ilvl="8" w:tplc="0410001B" w:tentative="1">
      <w:start w:val="1"/>
      <w:numFmt w:val="lowerRoman"/>
      <w:lvlText w:val="%9."/>
      <w:lvlJc w:val="right"/>
      <w:pPr>
        <w:ind w:left="6405" w:hanging="180"/>
      </w:pPr>
      <w:rPr>
        <w:rFonts w:cs="Times New Roman"/>
      </w:rPr>
    </w:lvl>
  </w:abstractNum>
  <w:abstractNum w:abstractNumId="27">
    <w:nsid w:val="7C2D0DF3"/>
    <w:multiLevelType w:val="singleLevel"/>
    <w:tmpl w:val="0410000F"/>
    <w:lvl w:ilvl="0">
      <w:start w:val="3"/>
      <w:numFmt w:val="decimal"/>
      <w:lvlText w:val="%1."/>
      <w:lvlJc w:val="left"/>
      <w:pPr>
        <w:tabs>
          <w:tab w:val="num" w:pos="360"/>
        </w:tabs>
        <w:ind w:left="360" w:hanging="360"/>
      </w:pPr>
      <w:rPr>
        <w:rFonts w:cs="Times New Roman"/>
      </w:rPr>
    </w:lvl>
  </w:abstractNum>
  <w:abstractNum w:abstractNumId="28">
    <w:nsid w:val="7C9A614A"/>
    <w:multiLevelType w:val="hybridMultilevel"/>
    <w:tmpl w:val="B4E40FB0"/>
    <w:lvl w:ilvl="0" w:tplc="E1169904">
      <w:start w:val="1"/>
      <w:numFmt w:val="lowerLetter"/>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num w:numId="1">
    <w:abstractNumId w:val="7"/>
  </w:num>
  <w:num w:numId="2">
    <w:abstractNumId w:val="26"/>
  </w:num>
  <w:num w:numId="3">
    <w:abstractNumId w:val="25"/>
  </w:num>
  <w:num w:numId="4">
    <w:abstractNumId w:val="14"/>
  </w:num>
  <w:num w:numId="5">
    <w:abstractNumId w:val="6"/>
  </w:num>
  <w:num w:numId="6">
    <w:abstractNumId w:val="1"/>
  </w:num>
  <w:num w:numId="7">
    <w:abstractNumId w:val="10"/>
  </w:num>
  <w:num w:numId="8">
    <w:abstractNumId w:val="4"/>
  </w:num>
  <w:num w:numId="9">
    <w:abstractNumId w:val="13"/>
  </w:num>
  <w:num w:numId="10">
    <w:abstractNumId w:val="24"/>
  </w:num>
  <w:num w:numId="11">
    <w:abstractNumId w:val="28"/>
  </w:num>
  <w:num w:numId="12">
    <w:abstractNumId w:val="11"/>
  </w:num>
  <w:num w:numId="13">
    <w:abstractNumId w:val="0"/>
    <w:lvlOverride w:ilvl="0">
      <w:startOverride w:val="1"/>
    </w:lvlOverride>
  </w:num>
  <w:num w:numId="14">
    <w:abstractNumId w:val="8"/>
  </w:num>
  <w:num w:numId="15">
    <w:abstractNumId w:val="27"/>
    <w:lvlOverride w:ilvl="0">
      <w:startOverride w:val="3"/>
    </w:lvlOverride>
  </w:num>
  <w:num w:numId="16">
    <w:abstractNumId w:val="15"/>
    <w:lvlOverride w:ilvl="0">
      <w:startOverride w:val="1"/>
    </w:lvlOverride>
  </w:num>
  <w:num w:numId="17">
    <w:abstractNumId w:val="3"/>
  </w:num>
  <w:num w:numId="18">
    <w:abstractNumId w:val="5"/>
  </w:num>
  <w:num w:numId="19">
    <w:abstractNumId w:val="22"/>
  </w:num>
  <w:num w:numId="20">
    <w:abstractNumId w:val="19"/>
  </w:num>
  <w:num w:numId="21">
    <w:abstractNumId w:val="9"/>
  </w:num>
  <w:num w:numId="22">
    <w:abstractNumId w:val="21"/>
    <w:lvlOverride w:ilvl="0">
      <w:startOverride w:val="1"/>
    </w:lvlOverride>
  </w:num>
  <w:num w:numId="23">
    <w:abstractNumId w:val="2"/>
  </w:num>
  <w:num w:numId="24">
    <w:abstractNumId w:val="16"/>
  </w:num>
  <w:num w:numId="25">
    <w:abstractNumId w:val="20"/>
  </w:num>
  <w:num w:numId="26">
    <w:abstractNumId w:val="17"/>
  </w:num>
  <w:num w:numId="27">
    <w:abstractNumId w:val="12"/>
  </w:num>
  <w:num w:numId="28">
    <w:abstractNumId w:val="18"/>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rsids>
    <w:rsidRoot w:val="00124484"/>
    <w:rsid w:val="0000094E"/>
    <w:rsid w:val="00004960"/>
    <w:rsid w:val="0001046F"/>
    <w:rsid w:val="00012544"/>
    <w:rsid w:val="00013634"/>
    <w:rsid w:val="00014DF4"/>
    <w:rsid w:val="00020E93"/>
    <w:rsid w:val="00021F8A"/>
    <w:rsid w:val="00022C0D"/>
    <w:rsid w:val="00023C10"/>
    <w:rsid w:val="000300C4"/>
    <w:rsid w:val="00030682"/>
    <w:rsid w:val="00031FE6"/>
    <w:rsid w:val="000324D8"/>
    <w:rsid w:val="00032796"/>
    <w:rsid w:val="00032863"/>
    <w:rsid w:val="000335A1"/>
    <w:rsid w:val="000349A2"/>
    <w:rsid w:val="000376D3"/>
    <w:rsid w:val="0004006F"/>
    <w:rsid w:val="00040C00"/>
    <w:rsid w:val="000412BC"/>
    <w:rsid w:val="000437AA"/>
    <w:rsid w:val="000442F2"/>
    <w:rsid w:val="00045952"/>
    <w:rsid w:val="00051E46"/>
    <w:rsid w:val="0006411E"/>
    <w:rsid w:val="000657EF"/>
    <w:rsid w:val="0006622C"/>
    <w:rsid w:val="00067CE5"/>
    <w:rsid w:val="000716F3"/>
    <w:rsid w:val="00077135"/>
    <w:rsid w:val="00082F66"/>
    <w:rsid w:val="000836AB"/>
    <w:rsid w:val="000924F7"/>
    <w:rsid w:val="00095C2E"/>
    <w:rsid w:val="000A474F"/>
    <w:rsid w:val="000A61A0"/>
    <w:rsid w:val="000A74B3"/>
    <w:rsid w:val="000B3C69"/>
    <w:rsid w:val="000B557E"/>
    <w:rsid w:val="000C79B6"/>
    <w:rsid w:val="000D1086"/>
    <w:rsid w:val="000D161E"/>
    <w:rsid w:val="000D2AD2"/>
    <w:rsid w:val="000D311E"/>
    <w:rsid w:val="000D437A"/>
    <w:rsid w:val="000D4899"/>
    <w:rsid w:val="000D4ACE"/>
    <w:rsid w:val="000E3CB9"/>
    <w:rsid w:val="000E50E1"/>
    <w:rsid w:val="000F37AB"/>
    <w:rsid w:val="000F6F1C"/>
    <w:rsid w:val="000F7380"/>
    <w:rsid w:val="000F7B5B"/>
    <w:rsid w:val="00102D9F"/>
    <w:rsid w:val="00104857"/>
    <w:rsid w:val="00106ADD"/>
    <w:rsid w:val="00106F6C"/>
    <w:rsid w:val="00112B88"/>
    <w:rsid w:val="00112EA5"/>
    <w:rsid w:val="00113193"/>
    <w:rsid w:val="001140E6"/>
    <w:rsid w:val="00116689"/>
    <w:rsid w:val="001166A1"/>
    <w:rsid w:val="001173E8"/>
    <w:rsid w:val="00117495"/>
    <w:rsid w:val="001179FC"/>
    <w:rsid w:val="0012191E"/>
    <w:rsid w:val="00121FBF"/>
    <w:rsid w:val="00122578"/>
    <w:rsid w:val="00124484"/>
    <w:rsid w:val="001249DF"/>
    <w:rsid w:val="00127C0A"/>
    <w:rsid w:val="001308D9"/>
    <w:rsid w:val="0013184E"/>
    <w:rsid w:val="00132881"/>
    <w:rsid w:val="00132FE0"/>
    <w:rsid w:val="001338FA"/>
    <w:rsid w:val="001404D9"/>
    <w:rsid w:val="00140895"/>
    <w:rsid w:val="00141043"/>
    <w:rsid w:val="0014240E"/>
    <w:rsid w:val="00142E98"/>
    <w:rsid w:val="00144D4E"/>
    <w:rsid w:val="00151B6B"/>
    <w:rsid w:val="001526D9"/>
    <w:rsid w:val="0015474C"/>
    <w:rsid w:val="00154C02"/>
    <w:rsid w:val="00154E10"/>
    <w:rsid w:val="001554F2"/>
    <w:rsid w:val="00156B49"/>
    <w:rsid w:val="00157A87"/>
    <w:rsid w:val="001635D5"/>
    <w:rsid w:val="00163BE2"/>
    <w:rsid w:val="001641C3"/>
    <w:rsid w:val="00166C6D"/>
    <w:rsid w:val="00170AB0"/>
    <w:rsid w:val="001713B2"/>
    <w:rsid w:val="00172BF7"/>
    <w:rsid w:val="001743F0"/>
    <w:rsid w:val="0017616E"/>
    <w:rsid w:val="00176649"/>
    <w:rsid w:val="00177B3F"/>
    <w:rsid w:val="00180F57"/>
    <w:rsid w:val="00181025"/>
    <w:rsid w:val="00183F32"/>
    <w:rsid w:val="001863F6"/>
    <w:rsid w:val="001944B2"/>
    <w:rsid w:val="00195A5F"/>
    <w:rsid w:val="00195E01"/>
    <w:rsid w:val="001967D9"/>
    <w:rsid w:val="001A0259"/>
    <w:rsid w:val="001B0610"/>
    <w:rsid w:val="001B73F1"/>
    <w:rsid w:val="001B7F4C"/>
    <w:rsid w:val="001C0D37"/>
    <w:rsid w:val="001C0DCD"/>
    <w:rsid w:val="001C1411"/>
    <w:rsid w:val="001C1C6E"/>
    <w:rsid w:val="001C2502"/>
    <w:rsid w:val="001C69AE"/>
    <w:rsid w:val="001D2304"/>
    <w:rsid w:val="001E0B8F"/>
    <w:rsid w:val="001E32EB"/>
    <w:rsid w:val="001E3E92"/>
    <w:rsid w:val="001E4DA2"/>
    <w:rsid w:val="001E566F"/>
    <w:rsid w:val="001E5A76"/>
    <w:rsid w:val="001E5B85"/>
    <w:rsid w:val="001F04AB"/>
    <w:rsid w:val="001F1551"/>
    <w:rsid w:val="001F1B0E"/>
    <w:rsid w:val="001F1E27"/>
    <w:rsid w:val="001F2270"/>
    <w:rsid w:val="001F29AD"/>
    <w:rsid w:val="001F4C9A"/>
    <w:rsid w:val="001F5362"/>
    <w:rsid w:val="001F565E"/>
    <w:rsid w:val="001F5C7F"/>
    <w:rsid w:val="00200435"/>
    <w:rsid w:val="00200D05"/>
    <w:rsid w:val="002016E7"/>
    <w:rsid w:val="002036A7"/>
    <w:rsid w:val="002042F0"/>
    <w:rsid w:val="00204BBA"/>
    <w:rsid w:val="002060B2"/>
    <w:rsid w:val="00207083"/>
    <w:rsid w:val="002131FE"/>
    <w:rsid w:val="00214C6E"/>
    <w:rsid w:val="00215FB7"/>
    <w:rsid w:val="00222F23"/>
    <w:rsid w:val="00225567"/>
    <w:rsid w:val="00230D0F"/>
    <w:rsid w:val="00234057"/>
    <w:rsid w:val="002349EB"/>
    <w:rsid w:val="00236507"/>
    <w:rsid w:val="002379D0"/>
    <w:rsid w:val="0024148D"/>
    <w:rsid w:val="00242939"/>
    <w:rsid w:val="00242D08"/>
    <w:rsid w:val="00244204"/>
    <w:rsid w:val="00244E4D"/>
    <w:rsid w:val="00250E91"/>
    <w:rsid w:val="00253241"/>
    <w:rsid w:val="002539FF"/>
    <w:rsid w:val="00253A37"/>
    <w:rsid w:val="00253C8D"/>
    <w:rsid w:val="00256DF9"/>
    <w:rsid w:val="00260E1E"/>
    <w:rsid w:val="0026198F"/>
    <w:rsid w:val="00262A45"/>
    <w:rsid w:val="00262A71"/>
    <w:rsid w:val="00263237"/>
    <w:rsid w:val="00264DC6"/>
    <w:rsid w:val="00270CDC"/>
    <w:rsid w:val="0027128E"/>
    <w:rsid w:val="00272E68"/>
    <w:rsid w:val="00275DE1"/>
    <w:rsid w:val="0027603B"/>
    <w:rsid w:val="002765A8"/>
    <w:rsid w:val="00276DD9"/>
    <w:rsid w:val="0028096D"/>
    <w:rsid w:val="00280BA7"/>
    <w:rsid w:val="002813DA"/>
    <w:rsid w:val="002817BE"/>
    <w:rsid w:val="00281A18"/>
    <w:rsid w:val="00282084"/>
    <w:rsid w:val="00282164"/>
    <w:rsid w:val="002877D3"/>
    <w:rsid w:val="002914F0"/>
    <w:rsid w:val="002927FC"/>
    <w:rsid w:val="002941BE"/>
    <w:rsid w:val="002A04AF"/>
    <w:rsid w:val="002A37B9"/>
    <w:rsid w:val="002A3E76"/>
    <w:rsid w:val="002A4133"/>
    <w:rsid w:val="002A6094"/>
    <w:rsid w:val="002A7941"/>
    <w:rsid w:val="002B01CB"/>
    <w:rsid w:val="002B0BC8"/>
    <w:rsid w:val="002B209E"/>
    <w:rsid w:val="002B68D8"/>
    <w:rsid w:val="002B7F2D"/>
    <w:rsid w:val="002C29B7"/>
    <w:rsid w:val="002C6635"/>
    <w:rsid w:val="002C667D"/>
    <w:rsid w:val="002C7084"/>
    <w:rsid w:val="002D1AE8"/>
    <w:rsid w:val="002D64E1"/>
    <w:rsid w:val="002D7C2E"/>
    <w:rsid w:val="002E0223"/>
    <w:rsid w:val="002F09D9"/>
    <w:rsid w:val="002F3B94"/>
    <w:rsid w:val="002F3E24"/>
    <w:rsid w:val="002F4C99"/>
    <w:rsid w:val="002F7155"/>
    <w:rsid w:val="002F735F"/>
    <w:rsid w:val="002F7465"/>
    <w:rsid w:val="002F7DBD"/>
    <w:rsid w:val="00301246"/>
    <w:rsid w:val="00301F32"/>
    <w:rsid w:val="003049AA"/>
    <w:rsid w:val="00306B04"/>
    <w:rsid w:val="0031180A"/>
    <w:rsid w:val="00314212"/>
    <w:rsid w:val="00317302"/>
    <w:rsid w:val="00317E5D"/>
    <w:rsid w:val="00320D17"/>
    <w:rsid w:val="00321F60"/>
    <w:rsid w:val="0032309F"/>
    <w:rsid w:val="003232B2"/>
    <w:rsid w:val="00325B40"/>
    <w:rsid w:val="003321FA"/>
    <w:rsid w:val="003337D3"/>
    <w:rsid w:val="003379E4"/>
    <w:rsid w:val="00340307"/>
    <w:rsid w:val="00345BA4"/>
    <w:rsid w:val="003464B1"/>
    <w:rsid w:val="00350E0D"/>
    <w:rsid w:val="003524A0"/>
    <w:rsid w:val="00357BEA"/>
    <w:rsid w:val="00360093"/>
    <w:rsid w:val="00366A3C"/>
    <w:rsid w:val="00372385"/>
    <w:rsid w:val="00372B99"/>
    <w:rsid w:val="00374BF3"/>
    <w:rsid w:val="0037705B"/>
    <w:rsid w:val="00382801"/>
    <w:rsid w:val="00384843"/>
    <w:rsid w:val="003869E2"/>
    <w:rsid w:val="00386D5A"/>
    <w:rsid w:val="0039036A"/>
    <w:rsid w:val="00390DA6"/>
    <w:rsid w:val="00390EDD"/>
    <w:rsid w:val="003920C3"/>
    <w:rsid w:val="003961E6"/>
    <w:rsid w:val="003A049A"/>
    <w:rsid w:val="003A4D5F"/>
    <w:rsid w:val="003B0763"/>
    <w:rsid w:val="003B4671"/>
    <w:rsid w:val="003B5B65"/>
    <w:rsid w:val="003B6086"/>
    <w:rsid w:val="003B64BE"/>
    <w:rsid w:val="003C1D02"/>
    <w:rsid w:val="003C412C"/>
    <w:rsid w:val="003C70F7"/>
    <w:rsid w:val="003D0D6B"/>
    <w:rsid w:val="003D1B0A"/>
    <w:rsid w:val="003D232D"/>
    <w:rsid w:val="003D366F"/>
    <w:rsid w:val="003D5746"/>
    <w:rsid w:val="003D5F8E"/>
    <w:rsid w:val="003D7990"/>
    <w:rsid w:val="003E14FD"/>
    <w:rsid w:val="003E28A4"/>
    <w:rsid w:val="003F0516"/>
    <w:rsid w:val="003F240F"/>
    <w:rsid w:val="003F45ED"/>
    <w:rsid w:val="004007A2"/>
    <w:rsid w:val="00401E58"/>
    <w:rsid w:val="004028AD"/>
    <w:rsid w:val="00402E77"/>
    <w:rsid w:val="00403E11"/>
    <w:rsid w:val="004050B6"/>
    <w:rsid w:val="00407AFD"/>
    <w:rsid w:val="00411405"/>
    <w:rsid w:val="0041168D"/>
    <w:rsid w:val="004148D3"/>
    <w:rsid w:val="0042000E"/>
    <w:rsid w:val="00421151"/>
    <w:rsid w:val="004241C5"/>
    <w:rsid w:val="00427599"/>
    <w:rsid w:val="00432040"/>
    <w:rsid w:val="0043644B"/>
    <w:rsid w:val="00441DD4"/>
    <w:rsid w:val="004442D2"/>
    <w:rsid w:val="004448EC"/>
    <w:rsid w:val="0044714C"/>
    <w:rsid w:val="004509B5"/>
    <w:rsid w:val="00454315"/>
    <w:rsid w:val="0045474D"/>
    <w:rsid w:val="00455F23"/>
    <w:rsid w:val="004602F2"/>
    <w:rsid w:val="0046148C"/>
    <w:rsid w:val="00461662"/>
    <w:rsid w:val="00461EA2"/>
    <w:rsid w:val="0046403C"/>
    <w:rsid w:val="00466215"/>
    <w:rsid w:val="00466310"/>
    <w:rsid w:val="00466996"/>
    <w:rsid w:val="00466F4B"/>
    <w:rsid w:val="00473B64"/>
    <w:rsid w:val="004742BE"/>
    <w:rsid w:val="00476397"/>
    <w:rsid w:val="004766A7"/>
    <w:rsid w:val="00476DD4"/>
    <w:rsid w:val="00476F0B"/>
    <w:rsid w:val="0048091B"/>
    <w:rsid w:val="004872E6"/>
    <w:rsid w:val="00491CE0"/>
    <w:rsid w:val="0049235A"/>
    <w:rsid w:val="00494C98"/>
    <w:rsid w:val="004954D4"/>
    <w:rsid w:val="00497EBB"/>
    <w:rsid w:val="004A0C75"/>
    <w:rsid w:val="004A10F0"/>
    <w:rsid w:val="004A15C5"/>
    <w:rsid w:val="004A1898"/>
    <w:rsid w:val="004A3F4F"/>
    <w:rsid w:val="004A51CB"/>
    <w:rsid w:val="004A6E45"/>
    <w:rsid w:val="004B035B"/>
    <w:rsid w:val="004B1E38"/>
    <w:rsid w:val="004B214A"/>
    <w:rsid w:val="004B5E73"/>
    <w:rsid w:val="004B79B8"/>
    <w:rsid w:val="004C0591"/>
    <w:rsid w:val="004C146E"/>
    <w:rsid w:val="004C5E6E"/>
    <w:rsid w:val="004D082C"/>
    <w:rsid w:val="004D14B2"/>
    <w:rsid w:val="004D3139"/>
    <w:rsid w:val="004D4790"/>
    <w:rsid w:val="004D4BBA"/>
    <w:rsid w:val="004D5A0F"/>
    <w:rsid w:val="004E2A6B"/>
    <w:rsid w:val="004E2A6C"/>
    <w:rsid w:val="004E326B"/>
    <w:rsid w:val="004E3E73"/>
    <w:rsid w:val="004E3EC2"/>
    <w:rsid w:val="004E6567"/>
    <w:rsid w:val="004E6DD9"/>
    <w:rsid w:val="004F0CE7"/>
    <w:rsid w:val="004F5B17"/>
    <w:rsid w:val="004F6891"/>
    <w:rsid w:val="004F6F56"/>
    <w:rsid w:val="00501EA6"/>
    <w:rsid w:val="00504109"/>
    <w:rsid w:val="005057BD"/>
    <w:rsid w:val="00506763"/>
    <w:rsid w:val="005074A7"/>
    <w:rsid w:val="005100D3"/>
    <w:rsid w:val="00510279"/>
    <w:rsid w:val="00514BCD"/>
    <w:rsid w:val="00516914"/>
    <w:rsid w:val="00516D08"/>
    <w:rsid w:val="0051710F"/>
    <w:rsid w:val="00517659"/>
    <w:rsid w:val="00520BEF"/>
    <w:rsid w:val="005214E0"/>
    <w:rsid w:val="005254DA"/>
    <w:rsid w:val="00525D06"/>
    <w:rsid w:val="00526858"/>
    <w:rsid w:val="0053134A"/>
    <w:rsid w:val="005313D6"/>
    <w:rsid w:val="00533E23"/>
    <w:rsid w:val="00536A26"/>
    <w:rsid w:val="00540840"/>
    <w:rsid w:val="005516E1"/>
    <w:rsid w:val="00554469"/>
    <w:rsid w:val="0055616D"/>
    <w:rsid w:val="005574A3"/>
    <w:rsid w:val="005604C9"/>
    <w:rsid w:val="00560FCC"/>
    <w:rsid w:val="00563F16"/>
    <w:rsid w:val="005660C5"/>
    <w:rsid w:val="00567584"/>
    <w:rsid w:val="00570AB9"/>
    <w:rsid w:val="0057359C"/>
    <w:rsid w:val="00573AC6"/>
    <w:rsid w:val="00573F73"/>
    <w:rsid w:val="00574200"/>
    <w:rsid w:val="00575940"/>
    <w:rsid w:val="00575B84"/>
    <w:rsid w:val="00580598"/>
    <w:rsid w:val="005805B8"/>
    <w:rsid w:val="00580CB9"/>
    <w:rsid w:val="00580D1F"/>
    <w:rsid w:val="005821A4"/>
    <w:rsid w:val="00585698"/>
    <w:rsid w:val="005874C3"/>
    <w:rsid w:val="00590F45"/>
    <w:rsid w:val="00592611"/>
    <w:rsid w:val="005928A1"/>
    <w:rsid w:val="00594903"/>
    <w:rsid w:val="00596B76"/>
    <w:rsid w:val="005A2D58"/>
    <w:rsid w:val="005A4D64"/>
    <w:rsid w:val="005B107A"/>
    <w:rsid w:val="005B4CC6"/>
    <w:rsid w:val="005B4F6A"/>
    <w:rsid w:val="005B65E2"/>
    <w:rsid w:val="005B7196"/>
    <w:rsid w:val="005C14AF"/>
    <w:rsid w:val="005C5627"/>
    <w:rsid w:val="005C6B3C"/>
    <w:rsid w:val="005C77D1"/>
    <w:rsid w:val="005D16E1"/>
    <w:rsid w:val="005D2DC5"/>
    <w:rsid w:val="005D329D"/>
    <w:rsid w:val="005D3681"/>
    <w:rsid w:val="005D376F"/>
    <w:rsid w:val="005D5038"/>
    <w:rsid w:val="005D604B"/>
    <w:rsid w:val="005D605C"/>
    <w:rsid w:val="005D6323"/>
    <w:rsid w:val="005E01BC"/>
    <w:rsid w:val="005E1F06"/>
    <w:rsid w:val="005E33CF"/>
    <w:rsid w:val="005E3C18"/>
    <w:rsid w:val="005E4DC9"/>
    <w:rsid w:val="005E50E0"/>
    <w:rsid w:val="005E772C"/>
    <w:rsid w:val="005E7ACA"/>
    <w:rsid w:val="005F03FB"/>
    <w:rsid w:val="005F393F"/>
    <w:rsid w:val="005F63AE"/>
    <w:rsid w:val="005F785D"/>
    <w:rsid w:val="00600AE3"/>
    <w:rsid w:val="0060331C"/>
    <w:rsid w:val="00603EAE"/>
    <w:rsid w:val="006043DE"/>
    <w:rsid w:val="0060635B"/>
    <w:rsid w:val="006066C6"/>
    <w:rsid w:val="00606938"/>
    <w:rsid w:val="0060768D"/>
    <w:rsid w:val="00607E3B"/>
    <w:rsid w:val="006116CE"/>
    <w:rsid w:val="00611890"/>
    <w:rsid w:val="006134E7"/>
    <w:rsid w:val="006144C0"/>
    <w:rsid w:val="0062152A"/>
    <w:rsid w:val="00622B6E"/>
    <w:rsid w:val="00623A6C"/>
    <w:rsid w:val="0062518F"/>
    <w:rsid w:val="00632384"/>
    <w:rsid w:val="006327F9"/>
    <w:rsid w:val="00633E97"/>
    <w:rsid w:val="006341BF"/>
    <w:rsid w:val="0063471B"/>
    <w:rsid w:val="006349B5"/>
    <w:rsid w:val="006373A9"/>
    <w:rsid w:val="00640CDA"/>
    <w:rsid w:val="006417E0"/>
    <w:rsid w:val="00643D97"/>
    <w:rsid w:val="00644953"/>
    <w:rsid w:val="006455EC"/>
    <w:rsid w:val="006536AE"/>
    <w:rsid w:val="006540AD"/>
    <w:rsid w:val="00655798"/>
    <w:rsid w:val="0065717B"/>
    <w:rsid w:val="006617A0"/>
    <w:rsid w:val="00664CF0"/>
    <w:rsid w:val="00672D59"/>
    <w:rsid w:val="006731E7"/>
    <w:rsid w:val="00676D2C"/>
    <w:rsid w:val="0068621F"/>
    <w:rsid w:val="00687627"/>
    <w:rsid w:val="006921DD"/>
    <w:rsid w:val="006928BA"/>
    <w:rsid w:val="006936A2"/>
    <w:rsid w:val="00695ACF"/>
    <w:rsid w:val="006960B0"/>
    <w:rsid w:val="00696A93"/>
    <w:rsid w:val="00697C49"/>
    <w:rsid w:val="006A21D0"/>
    <w:rsid w:val="006A2898"/>
    <w:rsid w:val="006A3BAD"/>
    <w:rsid w:val="006A69F8"/>
    <w:rsid w:val="006B069D"/>
    <w:rsid w:val="006B1D90"/>
    <w:rsid w:val="006B305B"/>
    <w:rsid w:val="006B3128"/>
    <w:rsid w:val="006B7F59"/>
    <w:rsid w:val="006C0002"/>
    <w:rsid w:val="006C29A9"/>
    <w:rsid w:val="006C29E9"/>
    <w:rsid w:val="006C2C57"/>
    <w:rsid w:val="006C2CB8"/>
    <w:rsid w:val="006C4023"/>
    <w:rsid w:val="006C6FC2"/>
    <w:rsid w:val="006C76A4"/>
    <w:rsid w:val="006D0F23"/>
    <w:rsid w:val="006D346B"/>
    <w:rsid w:val="006D5068"/>
    <w:rsid w:val="006D66B0"/>
    <w:rsid w:val="006E13FA"/>
    <w:rsid w:val="006E2859"/>
    <w:rsid w:val="006E3188"/>
    <w:rsid w:val="006E360F"/>
    <w:rsid w:val="006E3F79"/>
    <w:rsid w:val="006E4608"/>
    <w:rsid w:val="006F1AAB"/>
    <w:rsid w:val="006F2002"/>
    <w:rsid w:val="006F514D"/>
    <w:rsid w:val="006F519F"/>
    <w:rsid w:val="006F7993"/>
    <w:rsid w:val="00702451"/>
    <w:rsid w:val="00704041"/>
    <w:rsid w:val="007050B3"/>
    <w:rsid w:val="00705FEA"/>
    <w:rsid w:val="007122F8"/>
    <w:rsid w:val="00721206"/>
    <w:rsid w:val="00723D17"/>
    <w:rsid w:val="00724111"/>
    <w:rsid w:val="00725A61"/>
    <w:rsid w:val="00725D08"/>
    <w:rsid w:val="00727D58"/>
    <w:rsid w:val="00730235"/>
    <w:rsid w:val="00731497"/>
    <w:rsid w:val="007316AC"/>
    <w:rsid w:val="00732253"/>
    <w:rsid w:val="00733B04"/>
    <w:rsid w:val="00734903"/>
    <w:rsid w:val="00734E2C"/>
    <w:rsid w:val="00736CB6"/>
    <w:rsid w:val="007446B1"/>
    <w:rsid w:val="00745A2D"/>
    <w:rsid w:val="00745F57"/>
    <w:rsid w:val="007518F5"/>
    <w:rsid w:val="00754FED"/>
    <w:rsid w:val="007576FB"/>
    <w:rsid w:val="00757EF7"/>
    <w:rsid w:val="00760A64"/>
    <w:rsid w:val="00762EA5"/>
    <w:rsid w:val="00763261"/>
    <w:rsid w:val="007709B1"/>
    <w:rsid w:val="00771B2C"/>
    <w:rsid w:val="00781380"/>
    <w:rsid w:val="00783986"/>
    <w:rsid w:val="007841E5"/>
    <w:rsid w:val="00784375"/>
    <w:rsid w:val="00793B79"/>
    <w:rsid w:val="00794412"/>
    <w:rsid w:val="00794F8A"/>
    <w:rsid w:val="00795171"/>
    <w:rsid w:val="007A25B9"/>
    <w:rsid w:val="007A2E06"/>
    <w:rsid w:val="007A386B"/>
    <w:rsid w:val="007B6362"/>
    <w:rsid w:val="007B6513"/>
    <w:rsid w:val="007B7DCC"/>
    <w:rsid w:val="007C10CE"/>
    <w:rsid w:val="007C13AC"/>
    <w:rsid w:val="007C19B2"/>
    <w:rsid w:val="007C1B4B"/>
    <w:rsid w:val="007C3255"/>
    <w:rsid w:val="007C3CA9"/>
    <w:rsid w:val="007C4565"/>
    <w:rsid w:val="007C62D3"/>
    <w:rsid w:val="007D158B"/>
    <w:rsid w:val="007D16E7"/>
    <w:rsid w:val="007D1C3D"/>
    <w:rsid w:val="007D2E7B"/>
    <w:rsid w:val="007D5EE6"/>
    <w:rsid w:val="007D746C"/>
    <w:rsid w:val="007D7CDD"/>
    <w:rsid w:val="007D7F7C"/>
    <w:rsid w:val="007E041D"/>
    <w:rsid w:val="007E2129"/>
    <w:rsid w:val="007E2718"/>
    <w:rsid w:val="007E3C57"/>
    <w:rsid w:val="007E3E2C"/>
    <w:rsid w:val="007E6BD2"/>
    <w:rsid w:val="007E6DDD"/>
    <w:rsid w:val="007F11F6"/>
    <w:rsid w:val="007F1238"/>
    <w:rsid w:val="007F18B7"/>
    <w:rsid w:val="007F1CD4"/>
    <w:rsid w:val="007F353C"/>
    <w:rsid w:val="007F37C6"/>
    <w:rsid w:val="007F4462"/>
    <w:rsid w:val="007F4527"/>
    <w:rsid w:val="007F540B"/>
    <w:rsid w:val="007F618A"/>
    <w:rsid w:val="00800A45"/>
    <w:rsid w:val="00800CC1"/>
    <w:rsid w:val="00803111"/>
    <w:rsid w:val="00804419"/>
    <w:rsid w:val="008055D3"/>
    <w:rsid w:val="0080591E"/>
    <w:rsid w:val="00805BC3"/>
    <w:rsid w:val="00807CAB"/>
    <w:rsid w:val="00810FB3"/>
    <w:rsid w:val="008117F6"/>
    <w:rsid w:val="008123BF"/>
    <w:rsid w:val="00812420"/>
    <w:rsid w:val="00812CE8"/>
    <w:rsid w:val="00813E79"/>
    <w:rsid w:val="0081674B"/>
    <w:rsid w:val="008227C1"/>
    <w:rsid w:val="008264C2"/>
    <w:rsid w:val="00827DCB"/>
    <w:rsid w:val="008303D9"/>
    <w:rsid w:val="0083062E"/>
    <w:rsid w:val="00831A85"/>
    <w:rsid w:val="00832941"/>
    <w:rsid w:val="00833F73"/>
    <w:rsid w:val="008350AC"/>
    <w:rsid w:val="0083536C"/>
    <w:rsid w:val="0083613E"/>
    <w:rsid w:val="00841367"/>
    <w:rsid w:val="008419EF"/>
    <w:rsid w:val="00842C3D"/>
    <w:rsid w:val="00844109"/>
    <w:rsid w:val="00845E74"/>
    <w:rsid w:val="00853AA4"/>
    <w:rsid w:val="00854689"/>
    <w:rsid w:val="0086247A"/>
    <w:rsid w:val="00863E76"/>
    <w:rsid w:val="00864F17"/>
    <w:rsid w:val="008674C8"/>
    <w:rsid w:val="00867709"/>
    <w:rsid w:val="00870E99"/>
    <w:rsid w:val="00870FD1"/>
    <w:rsid w:val="00872B9B"/>
    <w:rsid w:val="00875305"/>
    <w:rsid w:val="00880493"/>
    <w:rsid w:val="0088219D"/>
    <w:rsid w:val="00883E53"/>
    <w:rsid w:val="008858FC"/>
    <w:rsid w:val="008866C4"/>
    <w:rsid w:val="008911CF"/>
    <w:rsid w:val="00892BFB"/>
    <w:rsid w:val="008950B0"/>
    <w:rsid w:val="008979D5"/>
    <w:rsid w:val="008A0C10"/>
    <w:rsid w:val="008A121D"/>
    <w:rsid w:val="008B2A10"/>
    <w:rsid w:val="008B2E62"/>
    <w:rsid w:val="008B7984"/>
    <w:rsid w:val="008B7EF4"/>
    <w:rsid w:val="008C22D3"/>
    <w:rsid w:val="008C7FB1"/>
    <w:rsid w:val="008D0E8B"/>
    <w:rsid w:val="008D278A"/>
    <w:rsid w:val="008D4147"/>
    <w:rsid w:val="008E0C5D"/>
    <w:rsid w:val="008E2AC5"/>
    <w:rsid w:val="008E39AC"/>
    <w:rsid w:val="008E5543"/>
    <w:rsid w:val="008E61FF"/>
    <w:rsid w:val="008F2503"/>
    <w:rsid w:val="008F31D5"/>
    <w:rsid w:val="008F5698"/>
    <w:rsid w:val="00901CCC"/>
    <w:rsid w:val="0090396B"/>
    <w:rsid w:val="00904BBF"/>
    <w:rsid w:val="009061F8"/>
    <w:rsid w:val="00907205"/>
    <w:rsid w:val="00911ED1"/>
    <w:rsid w:val="009125CB"/>
    <w:rsid w:val="0092084F"/>
    <w:rsid w:val="00922D34"/>
    <w:rsid w:val="009231DC"/>
    <w:rsid w:val="009232AA"/>
    <w:rsid w:val="00923A90"/>
    <w:rsid w:val="00923B5C"/>
    <w:rsid w:val="009272AA"/>
    <w:rsid w:val="00931008"/>
    <w:rsid w:val="009314BF"/>
    <w:rsid w:val="00934319"/>
    <w:rsid w:val="00936BB7"/>
    <w:rsid w:val="009371DC"/>
    <w:rsid w:val="00937D62"/>
    <w:rsid w:val="00941865"/>
    <w:rsid w:val="0094295A"/>
    <w:rsid w:val="00942A80"/>
    <w:rsid w:val="009449CE"/>
    <w:rsid w:val="00944AC2"/>
    <w:rsid w:val="00945F2C"/>
    <w:rsid w:val="00947823"/>
    <w:rsid w:val="00947955"/>
    <w:rsid w:val="0095171A"/>
    <w:rsid w:val="009535EA"/>
    <w:rsid w:val="00954232"/>
    <w:rsid w:val="00955411"/>
    <w:rsid w:val="00955604"/>
    <w:rsid w:val="009566DF"/>
    <w:rsid w:val="00956A0C"/>
    <w:rsid w:val="00956F0C"/>
    <w:rsid w:val="009709B9"/>
    <w:rsid w:val="0098420A"/>
    <w:rsid w:val="0098532F"/>
    <w:rsid w:val="009864D4"/>
    <w:rsid w:val="009910E2"/>
    <w:rsid w:val="00991804"/>
    <w:rsid w:val="00992458"/>
    <w:rsid w:val="00992779"/>
    <w:rsid w:val="009942BE"/>
    <w:rsid w:val="009958C3"/>
    <w:rsid w:val="009960FB"/>
    <w:rsid w:val="00996902"/>
    <w:rsid w:val="0099798B"/>
    <w:rsid w:val="009A0E9A"/>
    <w:rsid w:val="009A1642"/>
    <w:rsid w:val="009A2A37"/>
    <w:rsid w:val="009A32AE"/>
    <w:rsid w:val="009A6212"/>
    <w:rsid w:val="009A71C8"/>
    <w:rsid w:val="009B0213"/>
    <w:rsid w:val="009B26A6"/>
    <w:rsid w:val="009B27FA"/>
    <w:rsid w:val="009B4765"/>
    <w:rsid w:val="009C048C"/>
    <w:rsid w:val="009C4EF8"/>
    <w:rsid w:val="009D06C7"/>
    <w:rsid w:val="009D085A"/>
    <w:rsid w:val="009D4C6A"/>
    <w:rsid w:val="009D65A0"/>
    <w:rsid w:val="009D6C03"/>
    <w:rsid w:val="009D6E88"/>
    <w:rsid w:val="009E0D5A"/>
    <w:rsid w:val="009E1529"/>
    <w:rsid w:val="009E31F9"/>
    <w:rsid w:val="009E51A5"/>
    <w:rsid w:val="009E5D16"/>
    <w:rsid w:val="009E61E6"/>
    <w:rsid w:val="009E7CFC"/>
    <w:rsid w:val="009F084E"/>
    <w:rsid w:val="009F0884"/>
    <w:rsid w:val="009F0E95"/>
    <w:rsid w:val="009F38AA"/>
    <w:rsid w:val="009F4C0F"/>
    <w:rsid w:val="00A01E2C"/>
    <w:rsid w:val="00A02103"/>
    <w:rsid w:val="00A02320"/>
    <w:rsid w:val="00A06B5E"/>
    <w:rsid w:val="00A10EFE"/>
    <w:rsid w:val="00A133E6"/>
    <w:rsid w:val="00A13FE1"/>
    <w:rsid w:val="00A14BE5"/>
    <w:rsid w:val="00A16224"/>
    <w:rsid w:val="00A164ED"/>
    <w:rsid w:val="00A179D1"/>
    <w:rsid w:val="00A17E55"/>
    <w:rsid w:val="00A20372"/>
    <w:rsid w:val="00A24C21"/>
    <w:rsid w:val="00A26C99"/>
    <w:rsid w:val="00A27B43"/>
    <w:rsid w:val="00A30223"/>
    <w:rsid w:val="00A32F18"/>
    <w:rsid w:val="00A33B4F"/>
    <w:rsid w:val="00A33B50"/>
    <w:rsid w:val="00A3465D"/>
    <w:rsid w:val="00A36B4B"/>
    <w:rsid w:val="00A36D66"/>
    <w:rsid w:val="00A373C0"/>
    <w:rsid w:val="00A374C8"/>
    <w:rsid w:val="00A379CD"/>
    <w:rsid w:val="00A40144"/>
    <w:rsid w:val="00A40331"/>
    <w:rsid w:val="00A4151D"/>
    <w:rsid w:val="00A447A7"/>
    <w:rsid w:val="00A4551C"/>
    <w:rsid w:val="00A46861"/>
    <w:rsid w:val="00A51FCB"/>
    <w:rsid w:val="00A52C78"/>
    <w:rsid w:val="00A53D4D"/>
    <w:rsid w:val="00A53DC1"/>
    <w:rsid w:val="00A5786E"/>
    <w:rsid w:val="00A57AB6"/>
    <w:rsid w:val="00A57F8D"/>
    <w:rsid w:val="00A60983"/>
    <w:rsid w:val="00A61322"/>
    <w:rsid w:val="00A61ABB"/>
    <w:rsid w:val="00A62B41"/>
    <w:rsid w:val="00A630D1"/>
    <w:rsid w:val="00A63C7C"/>
    <w:rsid w:val="00A641D7"/>
    <w:rsid w:val="00A669C6"/>
    <w:rsid w:val="00A67435"/>
    <w:rsid w:val="00A67F4C"/>
    <w:rsid w:val="00A7027B"/>
    <w:rsid w:val="00A702E1"/>
    <w:rsid w:val="00A72E75"/>
    <w:rsid w:val="00A73182"/>
    <w:rsid w:val="00A73717"/>
    <w:rsid w:val="00A737A6"/>
    <w:rsid w:val="00A749A1"/>
    <w:rsid w:val="00A753DB"/>
    <w:rsid w:val="00A7544B"/>
    <w:rsid w:val="00A763F0"/>
    <w:rsid w:val="00A77523"/>
    <w:rsid w:val="00A77D74"/>
    <w:rsid w:val="00A8260E"/>
    <w:rsid w:val="00A8342A"/>
    <w:rsid w:val="00A83D86"/>
    <w:rsid w:val="00A91665"/>
    <w:rsid w:val="00A9280A"/>
    <w:rsid w:val="00A932B0"/>
    <w:rsid w:val="00A94B81"/>
    <w:rsid w:val="00A9518C"/>
    <w:rsid w:val="00A95548"/>
    <w:rsid w:val="00A96129"/>
    <w:rsid w:val="00AA0204"/>
    <w:rsid w:val="00AA3DEE"/>
    <w:rsid w:val="00AA541B"/>
    <w:rsid w:val="00AA563C"/>
    <w:rsid w:val="00AA720F"/>
    <w:rsid w:val="00AB0AD0"/>
    <w:rsid w:val="00AB27B6"/>
    <w:rsid w:val="00AB3457"/>
    <w:rsid w:val="00AC06D4"/>
    <w:rsid w:val="00AC240C"/>
    <w:rsid w:val="00AC282C"/>
    <w:rsid w:val="00AC5BEC"/>
    <w:rsid w:val="00AC64BA"/>
    <w:rsid w:val="00AC7983"/>
    <w:rsid w:val="00AC7FCB"/>
    <w:rsid w:val="00AD1212"/>
    <w:rsid w:val="00AD25AB"/>
    <w:rsid w:val="00AD2C9C"/>
    <w:rsid w:val="00AD4E3F"/>
    <w:rsid w:val="00AD504A"/>
    <w:rsid w:val="00AD62B9"/>
    <w:rsid w:val="00AD6F7D"/>
    <w:rsid w:val="00AE09CA"/>
    <w:rsid w:val="00AE4FCE"/>
    <w:rsid w:val="00AF31A2"/>
    <w:rsid w:val="00AF427C"/>
    <w:rsid w:val="00AF43BF"/>
    <w:rsid w:val="00B004CF"/>
    <w:rsid w:val="00B04B46"/>
    <w:rsid w:val="00B066A3"/>
    <w:rsid w:val="00B067CF"/>
    <w:rsid w:val="00B07DAB"/>
    <w:rsid w:val="00B14BA1"/>
    <w:rsid w:val="00B155F3"/>
    <w:rsid w:val="00B15C72"/>
    <w:rsid w:val="00B17043"/>
    <w:rsid w:val="00B17283"/>
    <w:rsid w:val="00B177D5"/>
    <w:rsid w:val="00B20C84"/>
    <w:rsid w:val="00B23A96"/>
    <w:rsid w:val="00B25AAD"/>
    <w:rsid w:val="00B2749B"/>
    <w:rsid w:val="00B27E97"/>
    <w:rsid w:val="00B303D6"/>
    <w:rsid w:val="00B30EF2"/>
    <w:rsid w:val="00B330BE"/>
    <w:rsid w:val="00B36326"/>
    <w:rsid w:val="00B373D1"/>
    <w:rsid w:val="00B423C6"/>
    <w:rsid w:val="00B4546F"/>
    <w:rsid w:val="00B45E49"/>
    <w:rsid w:val="00B45E57"/>
    <w:rsid w:val="00B46AD2"/>
    <w:rsid w:val="00B47503"/>
    <w:rsid w:val="00B50438"/>
    <w:rsid w:val="00B504B0"/>
    <w:rsid w:val="00B5601B"/>
    <w:rsid w:val="00B5749E"/>
    <w:rsid w:val="00B57E30"/>
    <w:rsid w:val="00B61C2F"/>
    <w:rsid w:val="00B669D4"/>
    <w:rsid w:val="00B66C63"/>
    <w:rsid w:val="00B700E6"/>
    <w:rsid w:val="00B70A5F"/>
    <w:rsid w:val="00B720B0"/>
    <w:rsid w:val="00B750D8"/>
    <w:rsid w:val="00B7689E"/>
    <w:rsid w:val="00B77115"/>
    <w:rsid w:val="00B77279"/>
    <w:rsid w:val="00B81061"/>
    <w:rsid w:val="00B82DFD"/>
    <w:rsid w:val="00B83FF7"/>
    <w:rsid w:val="00B8748D"/>
    <w:rsid w:val="00B90B45"/>
    <w:rsid w:val="00B92366"/>
    <w:rsid w:val="00B92F20"/>
    <w:rsid w:val="00B94B3C"/>
    <w:rsid w:val="00B94E9C"/>
    <w:rsid w:val="00B9517F"/>
    <w:rsid w:val="00B954FC"/>
    <w:rsid w:val="00B959B0"/>
    <w:rsid w:val="00BA29E2"/>
    <w:rsid w:val="00BA418C"/>
    <w:rsid w:val="00BA4622"/>
    <w:rsid w:val="00BA49BF"/>
    <w:rsid w:val="00BA5066"/>
    <w:rsid w:val="00BA5F11"/>
    <w:rsid w:val="00BA6768"/>
    <w:rsid w:val="00BB09B4"/>
    <w:rsid w:val="00BB1A74"/>
    <w:rsid w:val="00BB30C9"/>
    <w:rsid w:val="00BB3956"/>
    <w:rsid w:val="00BB3BF6"/>
    <w:rsid w:val="00BB59A8"/>
    <w:rsid w:val="00BB7613"/>
    <w:rsid w:val="00BB7C35"/>
    <w:rsid w:val="00BC0E62"/>
    <w:rsid w:val="00BC0E8F"/>
    <w:rsid w:val="00BC189D"/>
    <w:rsid w:val="00BC6BD0"/>
    <w:rsid w:val="00BC73CB"/>
    <w:rsid w:val="00BD1C78"/>
    <w:rsid w:val="00BD269C"/>
    <w:rsid w:val="00BD2930"/>
    <w:rsid w:val="00BD298D"/>
    <w:rsid w:val="00BD36E2"/>
    <w:rsid w:val="00BD6111"/>
    <w:rsid w:val="00BD7D8F"/>
    <w:rsid w:val="00BE024A"/>
    <w:rsid w:val="00BE0682"/>
    <w:rsid w:val="00BE1308"/>
    <w:rsid w:val="00BE25EC"/>
    <w:rsid w:val="00BE2BA9"/>
    <w:rsid w:val="00BE3381"/>
    <w:rsid w:val="00BE3F09"/>
    <w:rsid w:val="00BE4796"/>
    <w:rsid w:val="00BE6BA2"/>
    <w:rsid w:val="00BF0D88"/>
    <w:rsid w:val="00BF0F3E"/>
    <w:rsid w:val="00BF3454"/>
    <w:rsid w:val="00BF4A34"/>
    <w:rsid w:val="00C006D4"/>
    <w:rsid w:val="00C03960"/>
    <w:rsid w:val="00C05573"/>
    <w:rsid w:val="00C076DD"/>
    <w:rsid w:val="00C076F7"/>
    <w:rsid w:val="00C17AFF"/>
    <w:rsid w:val="00C200A3"/>
    <w:rsid w:val="00C23B5A"/>
    <w:rsid w:val="00C24801"/>
    <w:rsid w:val="00C26A16"/>
    <w:rsid w:val="00C27DAD"/>
    <w:rsid w:val="00C30300"/>
    <w:rsid w:val="00C30CB0"/>
    <w:rsid w:val="00C31D39"/>
    <w:rsid w:val="00C31F60"/>
    <w:rsid w:val="00C330F9"/>
    <w:rsid w:val="00C342F5"/>
    <w:rsid w:val="00C356D3"/>
    <w:rsid w:val="00C3642E"/>
    <w:rsid w:val="00C36940"/>
    <w:rsid w:val="00C37C30"/>
    <w:rsid w:val="00C4085C"/>
    <w:rsid w:val="00C42C0B"/>
    <w:rsid w:val="00C461B2"/>
    <w:rsid w:val="00C472F7"/>
    <w:rsid w:val="00C47A67"/>
    <w:rsid w:val="00C50045"/>
    <w:rsid w:val="00C5275E"/>
    <w:rsid w:val="00C55224"/>
    <w:rsid w:val="00C60D70"/>
    <w:rsid w:val="00C60FF4"/>
    <w:rsid w:val="00C61673"/>
    <w:rsid w:val="00C61FD6"/>
    <w:rsid w:val="00C63498"/>
    <w:rsid w:val="00C657D3"/>
    <w:rsid w:val="00C66DAC"/>
    <w:rsid w:val="00C67FE2"/>
    <w:rsid w:val="00C71624"/>
    <w:rsid w:val="00C766F1"/>
    <w:rsid w:val="00C82C6D"/>
    <w:rsid w:val="00C84F55"/>
    <w:rsid w:val="00C850A2"/>
    <w:rsid w:val="00C85D9E"/>
    <w:rsid w:val="00C87C83"/>
    <w:rsid w:val="00C9093D"/>
    <w:rsid w:val="00C92794"/>
    <w:rsid w:val="00C92F6B"/>
    <w:rsid w:val="00C93449"/>
    <w:rsid w:val="00C9353D"/>
    <w:rsid w:val="00C96420"/>
    <w:rsid w:val="00CA156B"/>
    <w:rsid w:val="00CA2C77"/>
    <w:rsid w:val="00CA35E0"/>
    <w:rsid w:val="00CA4123"/>
    <w:rsid w:val="00CA587E"/>
    <w:rsid w:val="00CA6A9E"/>
    <w:rsid w:val="00CA783D"/>
    <w:rsid w:val="00CB28EA"/>
    <w:rsid w:val="00CB42DF"/>
    <w:rsid w:val="00CB4D43"/>
    <w:rsid w:val="00CB5341"/>
    <w:rsid w:val="00CB5EE8"/>
    <w:rsid w:val="00CB73DB"/>
    <w:rsid w:val="00CC4D76"/>
    <w:rsid w:val="00CC6DAE"/>
    <w:rsid w:val="00CC70E7"/>
    <w:rsid w:val="00CD2667"/>
    <w:rsid w:val="00CD3098"/>
    <w:rsid w:val="00CD3CD4"/>
    <w:rsid w:val="00CD669B"/>
    <w:rsid w:val="00CE0064"/>
    <w:rsid w:val="00CE0AAF"/>
    <w:rsid w:val="00CE334D"/>
    <w:rsid w:val="00CE38C4"/>
    <w:rsid w:val="00CE608D"/>
    <w:rsid w:val="00CE719D"/>
    <w:rsid w:val="00CE7D3F"/>
    <w:rsid w:val="00CF0914"/>
    <w:rsid w:val="00CF4E45"/>
    <w:rsid w:val="00CF5434"/>
    <w:rsid w:val="00CF5D36"/>
    <w:rsid w:val="00D010EB"/>
    <w:rsid w:val="00D037DF"/>
    <w:rsid w:val="00D07062"/>
    <w:rsid w:val="00D078C2"/>
    <w:rsid w:val="00D133C5"/>
    <w:rsid w:val="00D148C5"/>
    <w:rsid w:val="00D153DE"/>
    <w:rsid w:val="00D20188"/>
    <w:rsid w:val="00D20FA0"/>
    <w:rsid w:val="00D22044"/>
    <w:rsid w:val="00D26278"/>
    <w:rsid w:val="00D26964"/>
    <w:rsid w:val="00D34AB4"/>
    <w:rsid w:val="00D34C73"/>
    <w:rsid w:val="00D34CFC"/>
    <w:rsid w:val="00D36F2A"/>
    <w:rsid w:val="00D41D50"/>
    <w:rsid w:val="00D423C1"/>
    <w:rsid w:val="00D42DED"/>
    <w:rsid w:val="00D447A5"/>
    <w:rsid w:val="00D455AA"/>
    <w:rsid w:val="00D455BE"/>
    <w:rsid w:val="00D5041D"/>
    <w:rsid w:val="00D54486"/>
    <w:rsid w:val="00D57663"/>
    <w:rsid w:val="00D61B09"/>
    <w:rsid w:val="00D654F1"/>
    <w:rsid w:val="00D67098"/>
    <w:rsid w:val="00D725B4"/>
    <w:rsid w:val="00D732CF"/>
    <w:rsid w:val="00D75C7D"/>
    <w:rsid w:val="00D76FB6"/>
    <w:rsid w:val="00D776D6"/>
    <w:rsid w:val="00D779A1"/>
    <w:rsid w:val="00D77E77"/>
    <w:rsid w:val="00D82506"/>
    <w:rsid w:val="00D84C66"/>
    <w:rsid w:val="00D864FC"/>
    <w:rsid w:val="00D86787"/>
    <w:rsid w:val="00D924F8"/>
    <w:rsid w:val="00D970DD"/>
    <w:rsid w:val="00D977F0"/>
    <w:rsid w:val="00DA16F2"/>
    <w:rsid w:val="00DA6983"/>
    <w:rsid w:val="00DA7269"/>
    <w:rsid w:val="00DB09DB"/>
    <w:rsid w:val="00DB405F"/>
    <w:rsid w:val="00DB5606"/>
    <w:rsid w:val="00DC3748"/>
    <w:rsid w:val="00DC48A4"/>
    <w:rsid w:val="00DC7158"/>
    <w:rsid w:val="00DD1534"/>
    <w:rsid w:val="00DE1318"/>
    <w:rsid w:val="00DE165F"/>
    <w:rsid w:val="00DE4921"/>
    <w:rsid w:val="00DE4A7E"/>
    <w:rsid w:val="00DE74F5"/>
    <w:rsid w:val="00DF038C"/>
    <w:rsid w:val="00DF1207"/>
    <w:rsid w:val="00DF1704"/>
    <w:rsid w:val="00DF18E9"/>
    <w:rsid w:val="00DF2CBB"/>
    <w:rsid w:val="00DF32B6"/>
    <w:rsid w:val="00E009A3"/>
    <w:rsid w:val="00E017EF"/>
    <w:rsid w:val="00E01A70"/>
    <w:rsid w:val="00E01F2C"/>
    <w:rsid w:val="00E04FA8"/>
    <w:rsid w:val="00E06724"/>
    <w:rsid w:val="00E06D2B"/>
    <w:rsid w:val="00E06E5D"/>
    <w:rsid w:val="00E07F0E"/>
    <w:rsid w:val="00E11202"/>
    <w:rsid w:val="00E12554"/>
    <w:rsid w:val="00E13856"/>
    <w:rsid w:val="00E13AB1"/>
    <w:rsid w:val="00E13DED"/>
    <w:rsid w:val="00E16663"/>
    <w:rsid w:val="00E2124E"/>
    <w:rsid w:val="00E22BC4"/>
    <w:rsid w:val="00E235B8"/>
    <w:rsid w:val="00E246F3"/>
    <w:rsid w:val="00E25AC4"/>
    <w:rsid w:val="00E32948"/>
    <w:rsid w:val="00E33DB3"/>
    <w:rsid w:val="00E35BC9"/>
    <w:rsid w:val="00E36DFB"/>
    <w:rsid w:val="00E37F81"/>
    <w:rsid w:val="00E4105A"/>
    <w:rsid w:val="00E415D1"/>
    <w:rsid w:val="00E4324F"/>
    <w:rsid w:val="00E4393F"/>
    <w:rsid w:val="00E46E30"/>
    <w:rsid w:val="00E5307A"/>
    <w:rsid w:val="00E55FF0"/>
    <w:rsid w:val="00E60699"/>
    <w:rsid w:val="00E61A4B"/>
    <w:rsid w:val="00E656A1"/>
    <w:rsid w:val="00E66994"/>
    <w:rsid w:val="00E66C7F"/>
    <w:rsid w:val="00E67C37"/>
    <w:rsid w:val="00E70F7B"/>
    <w:rsid w:val="00E715C9"/>
    <w:rsid w:val="00E721D7"/>
    <w:rsid w:val="00E72571"/>
    <w:rsid w:val="00E729A2"/>
    <w:rsid w:val="00E72BF9"/>
    <w:rsid w:val="00E72DBE"/>
    <w:rsid w:val="00E7348C"/>
    <w:rsid w:val="00E77182"/>
    <w:rsid w:val="00E802AF"/>
    <w:rsid w:val="00E80B7F"/>
    <w:rsid w:val="00E815CB"/>
    <w:rsid w:val="00E85E5C"/>
    <w:rsid w:val="00E86093"/>
    <w:rsid w:val="00E86326"/>
    <w:rsid w:val="00E8699C"/>
    <w:rsid w:val="00E86F6C"/>
    <w:rsid w:val="00E902B9"/>
    <w:rsid w:val="00E90935"/>
    <w:rsid w:val="00E9484B"/>
    <w:rsid w:val="00E9608B"/>
    <w:rsid w:val="00EA0FD8"/>
    <w:rsid w:val="00EA2E25"/>
    <w:rsid w:val="00EA3039"/>
    <w:rsid w:val="00EA34C2"/>
    <w:rsid w:val="00EA44E8"/>
    <w:rsid w:val="00EA57F4"/>
    <w:rsid w:val="00EA74EE"/>
    <w:rsid w:val="00EA76F5"/>
    <w:rsid w:val="00EB0C8B"/>
    <w:rsid w:val="00EB0C92"/>
    <w:rsid w:val="00EB17E7"/>
    <w:rsid w:val="00EB1D68"/>
    <w:rsid w:val="00EB28C1"/>
    <w:rsid w:val="00EB2947"/>
    <w:rsid w:val="00EB5E55"/>
    <w:rsid w:val="00EB7A96"/>
    <w:rsid w:val="00EC1E27"/>
    <w:rsid w:val="00EC2268"/>
    <w:rsid w:val="00EC29F6"/>
    <w:rsid w:val="00EC417D"/>
    <w:rsid w:val="00EC452E"/>
    <w:rsid w:val="00EC62A1"/>
    <w:rsid w:val="00ED02CA"/>
    <w:rsid w:val="00ED43EC"/>
    <w:rsid w:val="00ED44D9"/>
    <w:rsid w:val="00ED6FB0"/>
    <w:rsid w:val="00ED795E"/>
    <w:rsid w:val="00EE06CA"/>
    <w:rsid w:val="00EE29C0"/>
    <w:rsid w:val="00EE3113"/>
    <w:rsid w:val="00EE3CA5"/>
    <w:rsid w:val="00EE57D3"/>
    <w:rsid w:val="00EE7BAE"/>
    <w:rsid w:val="00EF1355"/>
    <w:rsid w:val="00EF219D"/>
    <w:rsid w:val="00EF327E"/>
    <w:rsid w:val="00EF4F97"/>
    <w:rsid w:val="00EF51E5"/>
    <w:rsid w:val="00EF633F"/>
    <w:rsid w:val="00EF7FF0"/>
    <w:rsid w:val="00F0700C"/>
    <w:rsid w:val="00F10534"/>
    <w:rsid w:val="00F168E8"/>
    <w:rsid w:val="00F17866"/>
    <w:rsid w:val="00F2256F"/>
    <w:rsid w:val="00F24DF5"/>
    <w:rsid w:val="00F250C3"/>
    <w:rsid w:val="00F35666"/>
    <w:rsid w:val="00F42B26"/>
    <w:rsid w:val="00F43277"/>
    <w:rsid w:val="00F434A6"/>
    <w:rsid w:val="00F45FDC"/>
    <w:rsid w:val="00F470D7"/>
    <w:rsid w:val="00F474CA"/>
    <w:rsid w:val="00F50016"/>
    <w:rsid w:val="00F503F4"/>
    <w:rsid w:val="00F50B90"/>
    <w:rsid w:val="00F52763"/>
    <w:rsid w:val="00F557BE"/>
    <w:rsid w:val="00F55F8F"/>
    <w:rsid w:val="00F563A2"/>
    <w:rsid w:val="00F60752"/>
    <w:rsid w:val="00F62FD7"/>
    <w:rsid w:val="00F657A2"/>
    <w:rsid w:val="00F704C6"/>
    <w:rsid w:val="00F7093D"/>
    <w:rsid w:val="00F73458"/>
    <w:rsid w:val="00F74553"/>
    <w:rsid w:val="00F7540E"/>
    <w:rsid w:val="00F77D44"/>
    <w:rsid w:val="00F8081E"/>
    <w:rsid w:val="00F83BEF"/>
    <w:rsid w:val="00F84743"/>
    <w:rsid w:val="00F84CF2"/>
    <w:rsid w:val="00F85083"/>
    <w:rsid w:val="00F86178"/>
    <w:rsid w:val="00F87746"/>
    <w:rsid w:val="00F87BD1"/>
    <w:rsid w:val="00F92672"/>
    <w:rsid w:val="00F92AA0"/>
    <w:rsid w:val="00F934B3"/>
    <w:rsid w:val="00F936B5"/>
    <w:rsid w:val="00F955EB"/>
    <w:rsid w:val="00F957D7"/>
    <w:rsid w:val="00F96EA5"/>
    <w:rsid w:val="00F9758A"/>
    <w:rsid w:val="00FA342C"/>
    <w:rsid w:val="00FA3E4C"/>
    <w:rsid w:val="00FA50E2"/>
    <w:rsid w:val="00FA663E"/>
    <w:rsid w:val="00FB2565"/>
    <w:rsid w:val="00FB2EE6"/>
    <w:rsid w:val="00FB301D"/>
    <w:rsid w:val="00FB7356"/>
    <w:rsid w:val="00FC3BD6"/>
    <w:rsid w:val="00FC557D"/>
    <w:rsid w:val="00FC652B"/>
    <w:rsid w:val="00FC669C"/>
    <w:rsid w:val="00FC66A6"/>
    <w:rsid w:val="00FC6C34"/>
    <w:rsid w:val="00FD0B3D"/>
    <w:rsid w:val="00FD2C73"/>
    <w:rsid w:val="00FD3984"/>
    <w:rsid w:val="00FD5DE8"/>
    <w:rsid w:val="00FD6DD6"/>
    <w:rsid w:val="00FD7188"/>
    <w:rsid w:val="00FE1121"/>
    <w:rsid w:val="00FE2927"/>
    <w:rsid w:val="00FE434F"/>
    <w:rsid w:val="00FE4679"/>
    <w:rsid w:val="00FE5952"/>
    <w:rsid w:val="00FE6910"/>
    <w:rsid w:val="00FF12AA"/>
    <w:rsid w:val="00FF18DA"/>
    <w:rsid w:val="00FF29D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4484"/>
    <w:pPr>
      <w:widowControl w:val="0"/>
      <w:snapToGrid w:val="0"/>
    </w:pPr>
    <w:rPr>
      <w:rFonts w:ascii="Garamond" w:hAnsi="Garamond"/>
      <w:sz w:val="24"/>
      <w:szCs w:val="20"/>
    </w:rPr>
  </w:style>
  <w:style w:type="paragraph" w:styleId="Titolo1">
    <w:name w:val="heading 1"/>
    <w:basedOn w:val="Normale"/>
    <w:next w:val="Normale"/>
    <w:link w:val="Titolo1Carattere"/>
    <w:uiPriority w:val="99"/>
    <w:qFormat/>
    <w:rsid w:val="002765A8"/>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9"/>
    <w:qFormat/>
    <w:rsid w:val="002765A8"/>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9"/>
    <w:qFormat/>
    <w:rsid w:val="00C461B2"/>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C461B2"/>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iPriority w:val="99"/>
    <w:qFormat/>
    <w:rsid w:val="00C461B2"/>
    <w:pPr>
      <w:keepNext/>
      <w:keepLines/>
      <w:widowControl/>
      <w:snapToGrid/>
      <w:spacing w:before="200" w:line="276" w:lineRule="auto"/>
      <w:outlineLvl w:val="4"/>
    </w:pPr>
    <w:rPr>
      <w:rFonts w:ascii="Cambria" w:hAnsi="Cambria"/>
      <w:color w:val="243F60"/>
      <w:sz w:val="22"/>
      <w:szCs w:val="22"/>
    </w:rPr>
  </w:style>
  <w:style w:type="paragraph" w:styleId="Titolo6">
    <w:name w:val="heading 6"/>
    <w:basedOn w:val="Normale"/>
    <w:next w:val="Normale"/>
    <w:link w:val="Titolo6Carattere"/>
    <w:uiPriority w:val="99"/>
    <w:qFormat/>
    <w:rsid w:val="00C461B2"/>
    <w:pPr>
      <w:keepNext/>
      <w:keepLines/>
      <w:widowControl/>
      <w:snapToGrid/>
      <w:spacing w:before="200" w:line="276" w:lineRule="auto"/>
      <w:outlineLvl w:val="5"/>
    </w:pPr>
    <w:rPr>
      <w:rFonts w:ascii="Cambria" w:hAnsi="Cambria"/>
      <w:i/>
      <w:iCs/>
      <w:color w:val="243F60"/>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2765A8"/>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locked/>
    <w:rsid w:val="002765A8"/>
    <w:rPr>
      <w:rFonts w:ascii="Arial" w:hAnsi="Arial" w:cs="Arial"/>
      <w:b/>
      <w:bCs/>
      <w:i/>
      <w:iCs/>
      <w:sz w:val="28"/>
      <w:szCs w:val="28"/>
    </w:rPr>
  </w:style>
  <w:style w:type="character" w:customStyle="1" w:styleId="Titolo3Carattere">
    <w:name w:val="Titolo 3 Carattere"/>
    <w:basedOn w:val="Carpredefinitoparagrafo"/>
    <w:link w:val="Titolo3"/>
    <w:uiPriority w:val="99"/>
    <w:locked/>
    <w:rsid w:val="00C461B2"/>
    <w:rPr>
      <w:rFonts w:ascii="Cambria" w:hAnsi="Cambria" w:cs="Times New Roman"/>
      <w:b/>
      <w:bCs/>
      <w:color w:val="4F81BD"/>
      <w:sz w:val="24"/>
    </w:rPr>
  </w:style>
  <w:style w:type="character" w:customStyle="1" w:styleId="Titolo4Carattere">
    <w:name w:val="Titolo 4 Carattere"/>
    <w:basedOn w:val="Carpredefinitoparagrafo"/>
    <w:link w:val="Titolo4"/>
    <w:uiPriority w:val="99"/>
    <w:semiHidden/>
    <w:locked/>
    <w:rsid w:val="00C461B2"/>
    <w:rPr>
      <w:rFonts w:ascii="Cambria" w:hAnsi="Cambria" w:cs="Times New Roman"/>
      <w:b/>
      <w:bCs/>
      <w:i/>
      <w:iCs/>
      <w:color w:val="4F81BD"/>
      <w:sz w:val="24"/>
    </w:rPr>
  </w:style>
  <w:style w:type="character" w:customStyle="1" w:styleId="Titolo5Carattere">
    <w:name w:val="Titolo 5 Carattere"/>
    <w:basedOn w:val="Carpredefinitoparagrafo"/>
    <w:link w:val="Titolo5"/>
    <w:uiPriority w:val="99"/>
    <w:semiHidden/>
    <w:locked/>
    <w:rsid w:val="00C461B2"/>
    <w:rPr>
      <w:rFonts w:ascii="Cambria" w:hAnsi="Cambria" w:cs="Times New Roman"/>
      <w:color w:val="243F60"/>
      <w:sz w:val="22"/>
      <w:szCs w:val="22"/>
    </w:rPr>
  </w:style>
  <w:style w:type="character" w:customStyle="1" w:styleId="Titolo6Carattere">
    <w:name w:val="Titolo 6 Carattere"/>
    <w:basedOn w:val="Carpredefinitoparagrafo"/>
    <w:link w:val="Titolo6"/>
    <w:uiPriority w:val="99"/>
    <w:semiHidden/>
    <w:locked/>
    <w:rsid w:val="00C461B2"/>
    <w:rPr>
      <w:rFonts w:ascii="Cambria" w:hAnsi="Cambria" w:cs="Times New Roman"/>
      <w:i/>
      <w:iCs/>
      <w:color w:val="243F60"/>
      <w:sz w:val="22"/>
      <w:szCs w:val="22"/>
    </w:rPr>
  </w:style>
  <w:style w:type="paragraph" w:styleId="Intestazione">
    <w:name w:val="header"/>
    <w:basedOn w:val="Normale"/>
    <w:link w:val="IntestazioneCarattere"/>
    <w:uiPriority w:val="99"/>
    <w:semiHidden/>
    <w:rsid w:val="00B45E57"/>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B45E57"/>
    <w:rPr>
      <w:rFonts w:ascii="Garamond" w:hAnsi="Garamond" w:cs="Times New Roman"/>
      <w:sz w:val="24"/>
    </w:rPr>
  </w:style>
  <w:style w:type="paragraph" w:styleId="Pidipagina">
    <w:name w:val="footer"/>
    <w:basedOn w:val="Normale"/>
    <w:link w:val="PidipaginaCarattere"/>
    <w:uiPriority w:val="99"/>
    <w:rsid w:val="00B45E57"/>
    <w:pPr>
      <w:tabs>
        <w:tab w:val="center" w:pos="4819"/>
        <w:tab w:val="right" w:pos="9638"/>
      </w:tabs>
    </w:pPr>
  </w:style>
  <w:style w:type="character" w:customStyle="1" w:styleId="PidipaginaCarattere">
    <w:name w:val="Piè di pagina Carattere"/>
    <w:basedOn w:val="Carpredefinitoparagrafo"/>
    <w:link w:val="Pidipagina"/>
    <w:uiPriority w:val="99"/>
    <w:locked/>
    <w:rsid w:val="00B45E57"/>
    <w:rPr>
      <w:rFonts w:ascii="Garamond" w:hAnsi="Garamond" w:cs="Times New Roman"/>
      <w:sz w:val="24"/>
    </w:rPr>
  </w:style>
  <w:style w:type="paragraph" w:styleId="Testofumetto">
    <w:name w:val="Balloon Text"/>
    <w:basedOn w:val="Normale"/>
    <w:link w:val="TestofumettoCarattere"/>
    <w:uiPriority w:val="99"/>
    <w:semiHidden/>
    <w:rsid w:val="004028AD"/>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4028AD"/>
    <w:rPr>
      <w:rFonts w:ascii="Tahoma" w:hAnsi="Tahoma" w:cs="Tahoma"/>
      <w:sz w:val="16"/>
      <w:szCs w:val="16"/>
    </w:rPr>
  </w:style>
  <w:style w:type="character" w:styleId="Rimandocommento">
    <w:name w:val="annotation reference"/>
    <w:basedOn w:val="Carpredefinitoparagrafo"/>
    <w:uiPriority w:val="99"/>
    <w:semiHidden/>
    <w:rsid w:val="004028AD"/>
    <w:rPr>
      <w:rFonts w:cs="Times New Roman"/>
      <w:sz w:val="16"/>
      <w:szCs w:val="16"/>
    </w:rPr>
  </w:style>
  <w:style w:type="paragraph" w:styleId="Testocommento">
    <w:name w:val="annotation text"/>
    <w:basedOn w:val="Normale"/>
    <w:link w:val="TestocommentoCarattere"/>
    <w:uiPriority w:val="99"/>
    <w:semiHidden/>
    <w:rsid w:val="004028AD"/>
    <w:rPr>
      <w:sz w:val="20"/>
    </w:rPr>
  </w:style>
  <w:style w:type="character" w:customStyle="1" w:styleId="TestocommentoCarattere">
    <w:name w:val="Testo commento Carattere"/>
    <w:basedOn w:val="Carpredefinitoparagrafo"/>
    <w:link w:val="Testocommento"/>
    <w:uiPriority w:val="99"/>
    <w:semiHidden/>
    <w:locked/>
    <w:rsid w:val="004028AD"/>
    <w:rPr>
      <w:rFonts w:ascii="Garamond" w:hAnsi="Garamond" w:cs="Times New Roman"/>
    </w:rPr>
  </w:style>
  <w:style w:type="paragraph" w:styleId="Soggettocommento">
    <w:name w:val="annotation subject"/>
    <w:basedOn w:val="Testocommento"/>
    <w:next w:val="Testocommento"/>
    <w:link w:val="SoggettocommentoCarattere"/>
    <w:uiPriority w:val="99"/>
    <w:semiHidden/>
    <w:rsid w:val="004028AD"/>
    <w:rPr>
      <w:b/>
      <w:bCs/>
    </w:rPr>
  </w:style>
  <w:style w:type="character" w:customStyle="1" w:styleId="SoggettocommentoCarattere">
    <w:name w:val="Soggetto commento Carattere"/>
    <w:basedOn w:val="TestocommentoCarattere"/>
    <w:link w:val="Soggettocommento"/>
    <w:uiPriority w:val="99"/>
    <w:semiHidden/>
    <w:locked/>
    <w:rsid w:val="004028AD"/>
    <w:rPr>
      <w:rFonts w:ascii="Garamond" w:hAnsi="Garamond" w:cs="Times New Roman"/>
      <w:b/>
      <w:bCs/>
    </w:rPr>
  </w:style>
  <w:style w:type="paragraph" w:styleId="Revisione">
    <w:name w:val="Revision"/>
    <w:hidden/>
    <w:uiPriority w:val="99"/>
    <w:semiHidden/>
    <w:rsid w:val="00104857"/>
    <w:rPr>
      <w:rFonts w:ascii="Garamond" w:hAnsi="Garamond"/>
      <w:sz w:val="24"/>
      <w:szCs w:val="20"/>
    </w:rPr>
  </w:style>
  <w:style w:type="paragraph" w:styleId="Paragrafoelenco">
    <w:name w:val="List Paragraph"/>
    <w:basedOn w:val="Normale"/>
    <w:uiPriority w:val="99"/>
    <w:qFormat/>
    <w:rsid w:val="00FD6DD6"/>
    <w:pPr>
      <w:ind w:left="720"/>
      <w:contextualSpacing/>
    </w:pPr>
  </w:style>
  <w:style w:type="paragraph" w:styleId="Didascalia">
    <w:name w:val="caption"/>
    <w:basedOn w:val="Normale"/>
    <w:next w:val="Normale"/>
    <w:uiPriority w:val="99"/>
    <w:qFormat/>
    <w:rsid w:val="001F1E27"/>
    <w:pPr>
      <w:spacing w:after="200"/>
    </w:pPr>
    <w:rPr>
      <w:b/>
      <w:bCs/>
      <w:color w:val="4F81BD"/>
      <w:sz w:val="18"/>
      <w:szCs w:val="18"/>
    </w:rPr>
  </w:style>
  <w:style w:type="character" w:styleId="Enfasigrassetto">
    <w:name w:val="Strong"/>
    <w:basedOn w:val="Carpredefinitoparagrafo"/>
    <w:uiPriority w:val="99"/>
    <w:qFormat/>
    <w:rsid w:val="00F7093D"/>
    <w:rPr>
      <w:rFonts w:cs="Times New Roman"/>
      <w:b/>
      <w:bCs/>
    </w:rPr>
  </w:style>
  <w:style w:type="paragraph" w:styleId="Titolo">
    <w:name w:val="Title"/>
    <w:basedOn w:val="Normale"/>
    <w:next w:val="Normale"/>
    <w:link w:val="TitoloCarattere"/>
    <w:uiPriority w:val="99"/>
    <w:qFormat/>
    <w:rsid w:val="00F7093D"/>
    <w:pPr>
      <w:widowControl/>
      <w:pBdr>
        <w:bottom w:val="single" w:sz="8" w:space="4" w:color="4F81BD"/>
      </w:pBdr>
      <w:snapToGrid/>
      <w:spacing w:after="300"/>
      <w:contextualSpacing/>
    </w:pPr>
    <w:rPr>
      <w:rFonts w:ascii="Cambria" w:hAnsi="Cambria"/>
      <w:color w:val="17365D"/>
      <w:spacing w:val="5"/>
      <w:kern w:val="28"/>
      <w:sz w:val="52"/>
      <w:szCs w:val="52"/>
    </w:rPr>
  </w:style>
  <w:style w:type="character" w:customStyle="1" w:styleId="TitoloCarattere">
    <w:name w:val="Titolo Carattere"/>
    <w:basedOn w:val="Carpredefinitoparagrafo"/>
    <w:link w:val="Titolo"/>
    <w:uiPriority w:val="99"/>
    <w:locked/>
    <w:rsid w:val="00F7093D"/>
    <w:rPr>
      <w:rFonts w:ascii="Cambria" w:hAnsi="Cambria" w:cs="Times New Roman"/>
      <w:color w:val="17365D"/>
      <w:spacing w:val="5"/>
      <w:kern w:val="28"/>
      <w:sz w:val="52"/>
      <w:szCs w:val="52"/>
    </w:rPr>
  </w:style>
  <w:style w:type="character" w:styleId="Collegamentoipertestuale">
    <w:name w:val="Hyperlink"/>
    <w:basedOn w:val="Carpredefinitoparagrafo"/>
    <w:uiPriority w:val="99"/>
    <w:semiHidden/>
    <w:rsid w:val="003E14FD"/>
    <w:rPr>
      <w:rFonts w:cs="Times New Roman"/>
      <w:color w:val="0000FF"/>
      <w:u w:val="single"/>
    </w:rPr>
  </w:style>
  <w:style w:type="paragraph" w:styleId="Sottotitolo">
    <w:name w:val="Subtitle"/>
    <w:basedOn w:val="Normale"/>
    <w:link w:val="SottotitoloCarattere"/>
    <w:uiPriority w:val="99"/>
    <w:qFormat/>
    <w:rsid w:val="00C461B2"/>
    <w:pPr>
      <w:widowControl/>
      <w:snapToGrid/>
    </w:pPr>
    <w:rPr>
      <w:rFonts w:ascii="Times New Roman" w:hAnsi="Times New Roman"/>
      <w:b/>
      <w:i/>
      <w:u w:val="single"/>
    </w:rPr>
  </w:style>
  <w:style w:type="character" w:customStyle="1" w:styleId="SottotitoloCarattere">
    <w:name w:val="Sottotitolo Carattere"/>
    <w:basedOn w:val="Carpredefinitoparagrafo"/>
    <w:link w:val="Sottotitolo"/>
    <w:uiPriority w:val="99"/>
    <w:locked/>
    <w:rsid w:val="00C461B2"/>
    <w:rPr>
      <w:rFonts w:cs="Times New Roman"/>
      <w:b/>
      <w:i/>
      <w:sz w:val="24"/>
      <w:u w:val="single"/>
    </w:rPr>
  </w:style>
  <w:style w:type="paragraph" w:styleId="Rientrocorpodeltesto">
    <w:name w:val="Body Text Indent"/>
    <w:basedOn w:val="Normale"/>
    <w:link w:val="RientrocorpodeltestoCarattere"/>
    <w:uiPriority w:val="99"/>
    <w:rsid w:val="00C461B2"/>
    <w:pPr>
      <w:widowControl/>
      <w:snapToGrid/>
      <w:ind w:left="360"/>
    </w:pPr>
    <w:rPr>
      <w:rFonts w:ascii="Times New Roman" w:hAnsi="Times New Roman"/>
      <w:sz w:val="20"/>
    </w:rPr>
  </w:style>
  <w:style w:type="character" w:customStyle="1" w:styleId="RientrocorpodeltestoCarattere">
    <w:name w:val="Rientro corpo del testo Carattere"/>
    <w:basedOn w:val="Carpredefinitoparagrafo"/>
    <w:link w:val="Rientrocorpodeltesto"/>
    <w:uiPriority w:val="99"/>
    <w:locked/>
    <w:rsid w:val="00C461B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3001503">
      <w:marLeft w:val="0"/>
      <w:marRight w:val="0"/>
      <w:marTop w:val="0"/>
      <w:marBottom w:val="0"/>
      <w:divBdr>
        <w:top w:val="none" w:sz="0" w:space="0" w:color="auto"/>
        <w:left w:val="none" w:sz="0" w:space="0" w:color="auto"/>
        <w:bottom w:val="none" w:sz="0" w:space="0" w:color="auto"/>
        <w:right w:val="none" w:sz="0" w:space="0" w:color="auto"/>
      </w:divBdr>
      <w:divsChild>
        <w:div w:id="1933001513">
          <w:marLeft w:val="0"/>
          <w:marRight w:val="0"/>
          <w:marTop w:val="0"/>
          <w:marBottom w:val="0"/>
          <w:divBdr>
            <w:top w:val="none" w:sz="0" w:space="0" w:color="auto"/>
            <w:left w:val="none" w:sz="0" w:space="0" w:color="auto"/>
            <w:bottom w:val="none" w:sz="0" w:space="0" w:color="auto"/>
            <w:right w:val="none" w:sz="0" w:space="0" w:color="auto"/>
          </w:divBdr>
          <w:divsChild>
            <w:div w:id="1933001506">
              <w:marLeft w:val="0"/>
              <w:marRight w:val="0"/>
              <w:marTop w:val="0"/>
              <w:marBottom w:val="0"/>
              <w:divBdr>
                <w:top w:val="none" w:sz="0" w:space="0" w:color="auto"/>
                <w:left w:val="none" w:sz="0" w:space="0" w:color="auto"/>
                <w:bottom w:val="none" w:sz="0" w:space="0" w:color="auto"/>
                <w:right w:val="none" w:sz="0" w:space="0" w:color="auto"/>
              </w:divBdr>
              <w:divsChild>
                <w:div w:id="19330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1505">
      <w:marLeft w:val="0"/>
      <w:marRight w:val="0"/>
      <w:marTop w:val="0"/>
      <w:marBottom w:val="0"/>
      <w:divBdr>
        <w:top w:val="none" w:sz="0" w:space="0" w:color="auto"/>
        <w:left w:val="none" w:sz="0" w:space="0" w:color="auto"/>
        <w:bottom w:val="none" w:sz="0" w:space="0" w:color="auto"/>
        <w:right w:val="none" w:sz="0" w:space="0" w:color="auto"/>
      </w:divBdr>
    </w:div>
    <w:div w:id="1933001507">
      <w:marLeft w:val="0"/>
      <w:marRight w:val="0"/>
      <w:marTop w:val="0"/>
      <w:marBottom w:val="0"/>
      <w:divBdr>
        <w:top w:val="none" w:sz="0" w:space="0" w:color="auto"/>
        <w:left w:val="none" w:sz="0" w:space="0" w:color="auto"/>
        <w:bottom w:val="none" w:sz="0" w:space="0" w:color="auto"/>
        <w:right w:val="none" w:sz="0" w:space="0" w:color="auto"/>
      </w:divBdr>
    </w:div>
    <w:div w:id="1933001508">
      <w:marLeft w:val="0"/>
      <w:marRight w:val="0"/>
      <w:marTop w:val="0"/>
      <w:marBottom w:val="0"/>
      <w:divBdr>
        <w:top w:val="none" w:sz="0" w:space="0" w:color="auto"/>
        <w:left w:val="none" w:sz="0" w:space="0" w:color="auto"/>
        <w:bottom w:val="none" w:sz="0" w:space="0" w:color="auto"/>
        <w:right w:val="none" w:sz="0" w:space="0" w:color="auto"/>
      </w:divBdr>
      <w:divsChild>
        <w:div w:id="1933001504">
          <w:marLeft w:val="0"/>
          <w:marRight w:val="0"/>
          <w:marTop w:val="0"/>
          <w:marBottom w:val="0"/>
          <w:divBdr>
            <w:top w:val="none" w:sz="0" w:space="0" w:color="auto"/>
            <w:left w:val="none" w:sz="0" w:space="0" w:color="auto"/>
            <w:bottom w:val="none" w:sz="0" w:space="0" w:color="auto"/>
            <w:right w:val="none" w:sz="0" w:space="0" w:color="auto"/>
          </w:divBdr>
          <w:divsChild>
            <w:div w:id="19330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1512">
      <w:marLeft w:val="0"/>
      <w:marRight w:val="0"/>
      <w:marTop w:val="0"/>
      <w:marBottom w:val="0"/>
      <w:divBdr>
        <w:top w:val="none" w:sz="0" w:space="0" w:color="auto"/>
        <w:left w:val="none" w:sz="0" w:space="0" w:color="auto"/>
        <w:bottom w:val="none" w:sz="0" w:space="0" w:color="auto"/>
        <w:right w:val="none" w:sz="0" w:space="0" w:color="auto"/>
      </w:divBdr>
      <w:divsChild>
        <w:div w:id="1933001502">
          <w:marLeft w:val="0"/>
          <w:marRight w:val="0"/>
          <w:marTop w:val="0"/>
          <w:marBottom w:val="0"/>
          <w:divBdr>
            <w:top w:val="none" w:sz="0" w:space="0" w:color="auto"/>
            <w:left w:val="none" w:sz="0" w:space="0" w:color="auto"/>
            <w:bottom w:val="none" w:sz="0" w:space="0" w:color="auto"/>
            <w:right w:val="none" w:sz="0" w:space="0" w:color="auto"/>
          </w:divBdr>
          <w:divsChild>
            <w:div w:id="19330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19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5643</Words>
  <Characters>32168</Characters>
  <Application>Microsoft Office Word</Application>
  <DocSecurity>0</DocSecurity>
  <Lines>268</Lines>
  <Paragraphs>75</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37736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Pc</cp:lastModifiedBy>
  <cp:revision>2</cp:revision>
  <cp:lastPrinted>2011-08-29T09:49:00Z</cp:lastPrinted>
  <dcterms:created xsi:type="dcterms:W3CDTF">2011-10-04T07:04:00Z</dcterms:created>
  <dcterms:modified xsi:type="dcterms:W3CDTF">2011-10-04T07:04:00Z</dcterms:modified>
</cp:coreProperties>
</file>